
<file path=[Content_Types].xml><?xml version="1.0" encoding="utf-8"?>
<Types xmlns="http://schemas.openxmlformats.org/package/2006/content-types">
  <Default Extension="wmf" ContentType="image/x-wmf"/>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310273</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Xiamen,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9 - 13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October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general aspects of AI/ML framework</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meeting[1], RAN2 discussed the mapping of AI/ML functionality to entities, UE capability and applicability for AI/ML for NR air interface and achieved the following agreements: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tabs>
                <w:tab w:val="left" w:pos="1352"/>
              </w:tabs>
              <w:rPr>
                <w:rFonts w:hint="default" w:ascii="Arial" w:hAnsi="Arial" w:cs="Arial"/>
                <w:sz w:val="20"/>
                <w:szCs w:val="21"/>
              </w:rPr>
            </w:pPr>
            <w:r>
              <w:rPr>
                <w:rFonts w:hint="default" w:ascii="Arial" w:hAnsi="Arial" w:cs="Arial"/>
                <w:sz w:val="20"/>
                <w:szCs w:val="21"/>
              </w:rPr>
              <w:t xml:space="preserve">P1-P6 </w:t>
            </w:r>
            <w:r>
              <w:rPr>
                <w:rFonts w:hint="default" w:ascii="Arial" w:hAnsi="Arial" w:cs="Arial"/>
                <w:sz w:val="20"/>
                <w:szCs w:val="21"/>
                <w:lang w:val="en-US" w:eastAsia="zh-CN"/>
              </w:rPr>
              <w:t xml:space="preserve">in R2-2308286 </w:t>
            </w:r>
            <w:r>
              <w:rPr>
                <w:rFonts w:hint="default" w:ascii="Arial" w:hAnsi="Arial" w:cs="Arial"/>
                <w:sz w:val="20"/>
                <w:szCs w:val="21"/>
              </w:rPr>
              <w:t>are agreed, it is expected that FFS items for which support is not increased will be removed.</w:t>
            </w:r>
          </w:p>
          <w:p>
            <w:pPr>
              <w:pStyle w:val="30"/>
              <w:numPr>
                <w:ilvl w:val="0"/>
                <w:numId w:val="4"/>
              </w:numPr>
              <w:ind w:left="1619"/>
              <w:rPr>
                <w:rFonts w:hint="default" w:ascii="Arial" w:hAnsi="Arial" w:cs="Arial"/>
                <w:sz w:val="20"/>
                <w:szCs w:val="21"/>
                <w:lang w:eastAsia="zh-CN"/>
              </w:rPr>
            </w:pPr>
            <w:r>
              <w:rPr>
                <w:rFonts w:hint="default" w:ascii="Arial" w:hAnsi="Arial" w:cs="Arial"/>
                <w:sz w:val="20"/>
                <w:szCs w:val="21"/>
                <w:lang w:eastAsia="zh-CN"/>
              </w:rPr>
              <w:t xml:space="preserve">AIML algorithm for a certain use case may be tailored towards and applicable to certain scenarios/location/configuration/deployment etc. AIML algorithm may be updated, e.g. by model change (these are observations): </w:t>
            </w:r>
          </w:p>
          <w:p>
            <w:pPr>
              <w:pStyle w:val="30"/>
              <w:numPr>
                <w:ilvl w:val="0"/>
                <w:numId w:val="0"/>
              </w:numPr>
              <w:tabs>
                <w:tab w:val="left" w:pos="1352"/>
                <w:tab w:val="left" w:pos="3620"/>
              </w:tabs>
              <w:ind w:left="1619"/>
              <w:rPr>
                <w:rFonts w:hint="default" w:ascii="Arial" w:hAnsi="Arial" w:cs="Arial"/>
                <w:sz w:val="20"/>
                <w:szCs w:val="21"/>
                <w:lang w:eastAsia="zh-CN"/>
              </w:rPr>
            </w:pPr>
            <w:r>
              <w:rPr>
                <w:rFonts w:hint="default" w:ascii="Arial" w:hAnsi="Arial" w:cs="Arial"/>
                <w:sz w:val="20"/>
                <w:szCs w:val="21"/>
                <w:lang w:eastAsia="zh-CN"/>
              </w:rPr>
              <w:t xml:space="preserve">RAN2 assumes that for UE-side AIML, the UE may inform the RAN about applicability conditions of AIML algorithm(s) available to the UE, to support RAN control (e.g. activation/deactivation/switching). </w:t>
            </w:r>
          </w:p>
          <w:p>
            <w:pPr>
              <w:pStyle w:val="30"/>
              <w:numPr>
                <w:ilvl w:val="0"/>
                <w:numId w:val="0"/>
              </w:numPr>
              <w:tabs>
                <w:tab w:val="left" w:pos="1352"/>
                <w:tab w:val="left" w:pos="3620"/>
              </w:tabs>
              <w:ind w:left="1619"/>
              <w:rPr>
                <w:rFonts w:hint="eastAsia"/>
                <w:lang w:val="en-US" w:eastAsia="zh-CN"/>
              </w:rPr>
            </w:pPr>
            <w:r>
              <w:rPr>
                <w:rFonts w:hint="default" w:ascii="Arial" w:hAnsi="Arial" w:cs="Arial"/>
                <w:sz w:val="20"/>
                <w:szCs w:val="21"/>
                <w:lang w:eastAsia="zh-CN"/>
              </w:rPr>
              <w:t xml:space="preserve">The procedure for UE reporting of AIML applicability conditions is FFS. </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remaining issues on general aspects of AI/ML framework</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General AI/ML framework</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RAN2#122 meeting [2], RAN2 agreed the general AI/ML framework with some modifications based on the Figure 2 from R2-2305327 [3]. </w:t>
      </w:r>
    </w:p>
    <w:p>
      <w:pPr>
        <w:pStyle w:val="30"/>
        <w:keepNext w:val="0"/>
        <w:keepLines w:val="0"/>
        <w:pageBreakBefore w:val="0"/>
        <w:widowControl w:val="0"/>
        <w:tabs>
          <w:tab w:val="left" w:pos="1352"/>
        </w:tabs>
        <w:kinsoku/>
        <w:wordWrap/>
        <w:overflowPunct/>
        <w:topLinePunct w:val="0"/>
        <w:autoSpaceDE/>
        <w:autoSpaceDN/>
        <w:bidi w:val="0"/>
        <w:adjustRightInd/>
        <w:snapToGrid/>
        <w:spacing w:after="60"/>
        <w:ind w:left="1621" w:hanging="363"/>
        <w:textAlignment w:val="auto"/>
        <w:rPr>
          <w:rFonts w:hint="default" w:ascii="Arial" w:hAnsi="Arial" w:cs="Arial"/>
          <w:sz w:val="20"/>
          <w:szCs w:val="20"/>
          <w:lang w:val="en-US"/>
        </w:rPr>
      </w:pPr>
      <w:r>
        <w:rPr>
          <w:rFonts w:hint="default" w:ascii="Arial" w:hAnsi="Arial" w:cs="Arial"/>
          <w:sz w:val="20"/>
          <w:szCs w:val="20"/>
          <w:lang w:val="en-US"/>
        </w:rPr>
        <w:t>Intention is to cover functional arch in general, e.g. covering both be model based and/or functionality based LCM</w:t>
      </w:r>
    </w:p>
    <w:p>
      <w:pPr>
        <w:pStyle w:val="30"/>
        <w:keepNext w:val="0"/>
        <w:keepLines w:val="0"/>
        <w:pageBreakBefore w:val="0"/>
        <w:widowControl w:val="0"/>
        <w:tabs>
          <w:tab w:val="left" w:pos="1352"/>
        </w:tabs>
        <w:kinsoku/>
        <w:wordWrap/>
        <w:overflowPunct/>
        <w:topLinePunct w:val="0"/>
        <w:autoSpaceDE/>
        <w:autoSpaceDN/>
        <w:bidi w:val="0"/>
        <w:adjustRightInd/>
        <w:snapToGrid/>
        <w:spacing w:after="60"/>
        <w:ind w:left="1621" w:hanging="363"/>
        <w:textAlignment w:val="auto"/>
        <w:rPr>
          <w:rFonts w:hint="default" w:ascii="Arial" w:hAnsi="Arial" w:cs="Arial"/>
          <w:sz w:val="20"/>
          <w:szCs w:val="20"/>
          <w:lang w:val="en-US"/>
        </w:rPr>
      </w:pPr>
      <w:r>
        <w:rPr>
          <w:rFonts w:hint="default" w:ascii="Arial" w:hAnsi="Arial" w:cs="Arial"/>
          <w:sz w:val="20"/>
          <w:szCs w:val="20"/>
          <w:lang w:val="en-US"/>
        </w:rPr>
        <w:t>“Model Storage” in the figure is only intended as a reference point (if any) for protocol terminations etc for model transfer/delivery etc. It is not intended to limit where models are actually stored. Add a note for this.</w:t>
      </w:r>
    </w:p>
    <w:p>
      <w:pPr>
        <w:pStyle w:val="30"/>
        <w:keepNext w:val="0"/>
        <w:keepLines w:val="0"/>
        <w:pageBreakBefore w:val="0"/>
        <w:widowControl w:val="0"/>
        <w:tabs>
          <w:tab w:val="left" w:pos="1352"/>
        </w:tabs>
        <w:kinsoku/>
        <w:wordWrap/>
        <w:overflowPunct/>
        <w:topLinePunct w:val="0"/>
        <w:autoSpaceDE/>
        <w:autoSpaceDN/>
        <w:bidi w:val="0"/>
        <w:adjustRightInd/>
        <w:snapToGrid/>
        <w:spacing w:after="60"/>
        <w:ind w:left="1621" w:hanging="363"/>
        <w:textAlignment w:val="auto"/>
        <w:rPr>
          <w:rFonts w:hint="default" w:ascii="Arial" w:hAnsi="Arial" w:cs="Arial"/>
          <w:sz w:val="20"/>
          <w:szCs w:val="20"/>
          <w:lang w:val="en-US"/>
        </w:rPr>
      </w:pPr>
      <w:r>
        <w:rPr>
          <w:rFonts w:hint="default" w:ascii="Arial" w:hAnsi="Arial" w:cs="Arial"/>
          <w:sz w:val="20"/>
          <w:szCs w:val="20"/>
          <w:lang w:val="en-US"/>
        </w:rPr>
        <w:t xml:space="preserve">Remove “Model” in Model Managemt and Model Inference and for the actions/the arrow form Management to Inference (to reduce the risk for misunderstanding). </w:t>
      </w:r>
    </w:p>
    <w:p>
      <w:pPr>
        <w:pStyle w:val="30"/>
        <w:keepNext w:val="0"/>
        <w:keepLines w:val="0"/>
        <w:pageBreakBefore w:val="0"/>
        <w:widowControl w:val="0"/>
        <w:tabs>
          <w:tab w:val="left" w:pos="1352"/>
        </w:tabs>
        <w:kinsoku/>
        <w:wordWrap/>
        <w:overflowPunct/>
        <w:topLinePunct w:val="0"/>
        <w:autoSpaceDE/>
        <w:autoSpaceDN/>
        <w:bidi w:val="0"/>
        <w:adjustRightInd/>
        <w:snapToGrid/>
        <w:spacing w:after="60"/>
        <w:ind w:left="1621" w:hanging="363"/>
        <w:textAlignment w:val="auto"/>
        <w:rPr>
          <w:rFonts w:hint="default" w:ascii="Arial" w:hAnsi="Arial" w:cs="Arial"/>
          <w:sz w:val="20"/>
          <w:szCs w:val="20"/>
          <w:lang w:val="en-US"/>
        </w:rPr>
      </w:pPr>
      <w:r>
        <w:rPr>
          <w:rFonts w:hint="default" w:ascii="Arial" w:hAnsi="Arial" w:cs="Arial"/>
          <w:sz w:val="20"/>
          <w:szCs w:val="20"/>
          <w:lang w:val="en-US"/>
        </w:rPr>
        <w:t xml:space="preserve">Management may be model based management, or functionality based management. Add a mote for this. </w:t>
      </w:r>
    </w:p>
    <w:p>
      <w:pPr>
        <w:pStyle w:val="30"/>
        <w:keepNext w:val="0"/>
        <w:keepLines w:val="0"/>
        <w:pageBreakBefore w:val="0"/>
        <w:widowControl w:val="0"/>
        <w:tabs>
          <w:tab w:val="left" w:pos="1352"/>
        </w:tabs>
        <w:kinsoku/>
        <w:wordWrap/>
        <w:overflowPunct/>
        <w:topLinePunct w:val="0"/>
        <w:autoSpaceDE/>
        <w:autoSpaceDN/>
        <w:bidi w:val="0"/>
        <w:adjustRightInd/>
        <w:snapToGrid/>
        <w:spacing w:after="60"/>
        <w:ind w:left="1621" w:hanging="363"/>
        <w:textAlignment w:val="auto"/>
        <w:rPr>
          <w:rFonts w:hint="default" w:ascii="Arial" w:hAnsi="Arial" w:eastAsia="宋体" w:cs="Arial"/>
          <w:kern w:val="0"/>
          <w:sz w:val="20"/>
          <w:szCs w:val="20"/>
          <w:lang w:val="en-US" w:eastAsia="zh-CN"/>
        </w:rPr>
      </w:pPr>
      <w:r>
        <w:rPr>
          <w:rFonts w:hint="default" w:ascii="Arial" w:hAnsi="Arial" w:cs="Arial" w:eastAsiaTheme="minorEastAsia"/>
          <w:b/>
          <w:kern w:val="2"/>
          <w:sz w:val="20"/>
          <w:szCs w:val="20"/>
          <w:lang w:val="en-US" w:eastAsia="zh-CN" w:bidi="ar-SA"/>
        </w:rPr>
        <w:t>With the modifications above Figure 2 from R2-2305327 is agreed</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The latest AI/ML framework is captured in RAN2</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text proposal for TR 38.843 [4], even if the TP is not endorsed.</w:t>
      </w:r>
    </w:p>
    <w:p>
      <w:pPr>
        <w:pStyle w:val="7"/>
        <w:jc w:val="center"/>
      </w:pPr>
      <w:r>
        <w:object>
          <v:shape id="_x0000_i1025" o:spt="75" type="#_x0000_t75" style="height:178.05pt;width:414.5pt;" o:ole="t" filled="f" o:preferrelative="t" stroked="f" coordsize="21600,21600">
            <v:path/>
            <v:fill on="f" focussize="0,0"/>
            <v:stroke on="f"/>
            <v:imagedata r:id="rId4" o:title=""/>
            <o:lock v:ext="edit" aspectratio="t"/>
            <w10:wrap type="none"/>
            <w10:anchorlock/>
          </v:shape>
          <o:OLEObject Type="Embed" ProgID="Visio.Drawing.15" ShapeID="_x0000_i1025" DrawAspect="Content" ObjectID="_1468075725">
            <o:LockedField>false</o:LockedField>
          </o:OLEObject>
        </w:object>
      </w:r>
    </w:p>
    <w:p>
      <w:pPr>
        <w:pStyle w:val="7"/>
        <w:jc w:val="center"/>
        <w:rPr>
          <w:rFonts w:hint="default" w:ascii="Arial" w:hAnsi="Arial" w:cs="Arial" w:eastAsiaTheme="minorEastAsia"/>
          <w:sz w:val="20"/>
          <w:szCs w:val="21"/>
          <w:lang w:val="en-US" w:eastAsia="zh-CN"/>
        </w:rPr>
      </w:pPr>
      <w:r>
        <w:rPr>
          <w:rFonts w:hint="default" w:ascii="Arial" w:hAnsi="Arial" w:cs="Arial"/>
          <w:sz w:val="20"/>
          <w:szCs w:val="21"/>
          <w:lang w:val="en-US" w:eastAsia="zh-CN"/>
        </w:rPr>
        <w:t xml:space="preserve">Figure 1. </w:t>
      </w:r>
      <w:r>
        <w:rPr>
          <w:rFonts w:hint="eastAsia" w:ascii="Arial" w:hAnsi="Arial" w:cs="Arial"/>
          <w:sz w:val="20"/>
          <w:szCs w:val="21"/>
          <w:lang w:val="en-US" w:eastAsia="zh-CN"/>
        </w:rPr>
        <w:t>AI/ML f</w:t>
      </w:r>
      <w:r>
        <w:rPr>
          <w:rFonts w:hint="default" w:ascii="Arial" w:hAnsi="Arial" w:cs="Arial"/>
          <w:sz w:val="20"/>
          <w:szCs w:val="21"/>
          <w:lang w:val="en-US" w:eastAsia="zh-CN"/>
        </w:rPr>
        <w:t xml:space="preserve">unctional </w:t>
      </w:r>
      <w:r>
        <w:rPr>
          <w:rFonts w:hint="eastAsia" w:ascii="Arial" w:hAnsi="Arial" w:cs="Arial"/>
          <w:sz w:val="20"/>
          <w:szCs w:val="21"/>
          <w:lang w:val="en-US" w:eastAsia="zh-CN"/>
        </w:rPr>
        <w:t>f</w:t>
      </w:r>
      <w:r>
        <w:rPr>
          <w:rFonts w:hint="default" w:ascii="Arial" w:hAnsi="Arial" w:cs="Arial"/>
          <w:sz w:val="20"/>
          <w:szCs w:val="21"/>
          <w:lang w:val="en-US" w:eastAsia="zh-CN"/>
        </w:rPr>
        <w:t>ramework</w:t>
      </w:r>
    </w:p>
    <w:p>
      <w:pPr>
        <w:pStyle w:val="7"/>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the [Post122]</w:t>
      </w:r>
      <w:r>
        <w:rPr>
          <w:rFonts w:hint="eastAsia" w:ascii="Arial" w:hAnsi="Arial" w:eastAsia="宋体" w:cs="Arial"/>
          <w:kern w:val="0"/>
          <w:sz w:val="20"/>
          <w:szCs w:val="20"/>
          <w:lang w:val="en-GB" w:eastAsia="en-US"/>
        </w:rPr>
        <w:t>[059][AIML]</w:t>
      </w:r>
      <w:r>
        <w:rPr>
          <w:rFonts w:hint="eastAsia" w:ascii="Arial" w:hAnsi="Arial" w:eastAsia="宋体" w:cs="Arial"/>
          <w:kern w:val="0"/>
          <w:sz w:val="20"/>
          <w:szCs w:val="20"/>
          <w:lang w:val="en-US" w:eastAsia="zh-CN"/>
        </w:rPr>
        <w:t xml:space="preserve"> email discussion [5], companies discussed the following renaming for the data/information flows. Majority support to follow the second bullet since the outcome of inference should be </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inference output</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 and remove </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model</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 in the first bullet to cover both functionality-based LCM and model ID-based LCM. We think these two modifications can be approved.</w:t>
      </w:r>
    </w:p>
    <w:p>
      <w:pPr>
        <w:pStyle w:val="7"/>
        <w:numPr>
          <w:ilvl w:val="0"/>
          <w:numId w:val="7"/>
        </w:numPr>
        <w:rPr>
          <w:rFonts w:hint="default" w:ascii="Arial" w:hAnsi="Arial" w:cs="Arial"/>
          <w:i/>
          <w:iCs/>
          <w:color w:val="auto"/>
          <w:sz w:val="20"/>
          <w:szCs w:val="21"/>
          <w:lang w:val="en-US"/>
        </w:rPr>
      </w:pPr>
      <w:r>
        <w:rPr>
          <w:rFonts w:hint="default" w:ascii="Arial" w:hAnsi="Arial" w:cs="Arial"/>
          <w:b w:val="0"/>
          <w:bCs w:val="0"/>
          <w:i/>
          <w:iCs/>
          <w:color w:val="auto"/>
          <w:sz w:val="20"/>
          <w:szCs w:val="21"/>
          <w:lang w:val="en-US"/>
        </w:rPr>
        <w:t xml:space="preserve">Model </w:t>
      </w:r>
      <w:r>
        <w:rPr>
          <w:rFonts w:hint="default" w:ascii="Arial" w:hAnsi="Arial" w:cs="Arial"/>
          <w:i/>
          <w:iCs/>
          <w:color w:val="auto"/>
          <w:sz w:val="20"/>
          <w:szCs w:val="21"/>
          <w:lang w:val="en-US"/>
        </w:rPr>
        <w:t xml:space="preserve">selection/(de)activation/switching/fallback </w:t>
      </w:r>
      <w:r>
        <w:rPr>
          <w:rFonts w:hint="default" w:ascii="Arial" w:hAnsi="Arial" w:cs="Arial"/>
          <w:i/>
          <w:iCs/>
          <w:color w:val="auto"/>
          <w:sz w:val="20"/>
          <w:szCs w:val="21"/>
          <w:lang w:val="en-US"/>
        </w:rPr>
        <w:sym w:font="Wingdings" w:char="F0E0"/>
      </w:r>
      <w:r>
        <w:rPr>
          <w:rFonts w:hint="default" w:ascii="Arial" w:hAnsi="Arial" w:cs="Arial"/>
          <w:i/>
          <w:iCs/>
          <w:color w:val="auto"/>
          <w:sz w:val="20"/>
          <w:szCs w:val="21"/>
          <w:lang w:val="en-US"/>
        </w:rPr>
        <w:t xml:space="preserve"> Management Instruction </w:t>
      </w:r>
    </w:p>
    <w:p>
      <w:pPr>
        <w:pStyle w:val="7"/>
        <w:numPr>
          <w:ilvl w:val="0"/>
          <w:numId w:val="7"/>
        </w:numPr>
        <w:rPr>
          <w:rFonts w:hint="default" w:ascii="Arial" w:hAnsi="Arial" w:cs="Arial"/>
          <w:b w:val="0"/>
          <w:bCs w:val="0"/>
          <w:i/>
          <w:iCs/>
          <w:color w:val="auto"/>
          <w:sz w:val="20"/>
          <w:szCs w:val="21"/>
          <w:lang w:val="en-US"/>
        </w:rPr>
      </w:pPr>
      <w:r>
        <w:rPr>
          <w:rFonts w:hint="default" w:ascii="Arial" w:hAnsi="Arial" w:cs="Arial"/>
          <w:b w:val="0"/>
          <w:bCs w:val="0"/>
          <w:i/>
          <w:iCs/>
          <w:color w:val="auto"/>
          <w:sz w:val="20"/>
          <w:szCs w:val="21"/>
          <w:lang w:val="en-US"/>
        </w:rPr>
        <w:t xml:space="preserve">Monitoring output </w:t>
      </w:r>
      <w:r>
        <w:rPr>
          <w:rFonts w:hint="default" w:ascii="Arial" w:hAnsi="Arial" w:cs="Arial"/>
          <w:b w:val="0"/>
          <w:bCs w:val="0"/>
          <w:i/>
          <w:iCs/>
          <w:color w:val="auto"/>
          <w:sz w:val="20"/>
          <w:szCs w:val="21"/>
          <w:lang w:val="en-US"/>
        </w:rPr>
        <w:sym w:font="Wingdings" w:char="F0E0"/>
      </w:r>
      <w:r>
        <w:rPr>
          <w:rFonts w:hint="default" w:ascii="Arial" w:hAnsi="Arial" w:cs="Arial"/>
          <w:b w:val="0"/>
          <w:bCs w:val="0"/>
          <w:i/>
          <w:iCs/>
          <w:color w:val="auto"/>
          <w:sz w:val="20"/>
          <w:szCs w:val="21"/>
          <w:lang w:val="en-US"/>
        </w:rPr>
        <w:t xml:space="preserve"> Inference output</w:t>
      </w:r>
    </w:p>
    <w:p>
      <w:pPr>
        <w:pStyle w:val="7"/>
        <w:numPr>
          <w:ilvl w:val="0"/>
          <w:numId w:val="7"/>
        </w:numPr>
        <w:rPr>
          <w:rFonts w:hint="default" w:ascii="Arial" w:hAnsi="Arial" w:cs="Arial"/>
          <w:i/>
          <w:iCs/>
          <w:color w:val="auto"/>
          <w:sz w:val="20"/>
          <w:szCs w:val="21"/>
          <w:lang w:val="en-US"/>
        </w:rPr>
      </w:pPr>
      <w:r>
        <w:rPr>
          <w:rFonts w:hint="default" w:ascii="Arial" w:hAnsi="Arial" w:cs="Arial"/>
          <w:i/>
          <w:iCs/>
          <w:color w:val="auto"/>
          <w:sz w:val="20"/>
          <w:szCs w:val="21"/>
          <w:lang w:val="en-US"/>
        </w:rPr>
        <w:t xml:space="preserve">Performance Feedback / Retraining Request </w:t>
      </w:r>
      <w:r>
        <w:rPr>
          <w:rFonts w:hint="default" w:ascii="Arial" w:hAnsi="Arial" w:cs="Arial"/>
          <w:i/>
          <w:iCs/>
          <w:color w:val="auto"/>
          <w:sz w:val="20"/>
          <w:szCs w:val="21"/>
          <w:lang w:val="en-US"/>
        </w:rPr>
        <w:sym w:font="Wingdings" w:char="F0E0"/>
      </w:r>
      <w:r>
        <w:rPr>
          <w:rFonts w:hint="default" w:ascii="Arial" w:hAnsi="Arial" w:cs="Arial"/>
          <w:i/>
          <w:iCs/>
          <w:color w:val="auto"/>
          <w:sz w:val="20"/>
          <w:szCs w:val="21"/>
          <w:lang w:val="en-US"/>
        </w:rPr>
        <w:t xml:space="preserve"> Monitoring output</w:t>
      </w:r>
    </w:p>
    <w:p>
      <w:pPr>
        <w:pStyle w:val="7"/>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The data/information flow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Monitoring output</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is renamed to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Inference output</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w:t>
      </w:r>
    </w:p>
    <w:p>
      <w:pPr>
        <w:pStyle w:val="7"/>
        <w:jc w:val="both"/>
        <w:rPr>
          <w:rFonts w:hint="eastAsia"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 xml:space="preserve">Proposal 2: Remove the word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model</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from the data/information flow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Model selection/(de)activation/switching/fallback</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to cover both functionality-based LCM and model ID- based LCM. </w:t>
      </w:r>
      <w:r>
        <w:rPr>
          <w:rFonts w:hint="eastAsia" w:ascii="Arial" w:hAnsi="Arial" w:eastAsia="宋体" w:cs="Arial"/>
          <w:kern w:val="0"/>
          <w:sz w:val="20"/>
          <w:szCs w:val="20"/>
          <w:lang w:val="en-US" w:eastAsia="zh-CN"/>
        </w:rPr>
        <w:t xml:space="preserve"> </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On the other hand, the companies also discussed on the presence/optionality of arrows and functions(blocks) in [5], but had no consensus on this issue. In our understanding, this figure is just a general framework for information, so it is unnecessary to discuss whether each LCM function is mandatory or optional, or whether each arrow is solid or dashed. </w:t>
      </w:r>
    </w:p>
    <w:p>
      <w:pPr>
        <w:pStyle w:val="7"/>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general framework is just for information, so it is unnecessary to discuss whether each LCM function is mandatory or optional, or whether each arrow is solid or dashed.</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Another issue is whether to separate the framework for model ID-based LCM and functionality-based LCM. As agreed in RAN2#122, the intention is to cover functional architecture in general, e.g. covering both be model based and/or functionality based LCM. We don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t see the motivation to separate it and we prefer to keep it simple. </w:t>
      </w:r>
    </w:p>
    <w:p>
      <w:pPr>
        <w:pStyle w:val="7"/>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The current framework can cover both model ID-based LCM and functionality-based LCM, and there is no need to separate it.</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Based on the above analysis and proposals, we think the following framework which reflects the modifications in P1 and P2 can be considered stable.</w:t>
      </w:r>
    </w:p>
    <w:p>
      <w:pPr>
        <w:pStyle w:val="7"/>
        <w:jc w:val="center"/>
      </w:pPr>
      <w:r>
        <w:drawing>
          <wp:inline distT="0" distB="0" distL="114300" distR="114300">
            <wp:extent cx="5342890" cy="2294890"/>
            <wp:effectExtent l="0" t="0" r="635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5"/>
                    <a:stretch>
                      <a:fillRect/>
                    </a:stretch>
                  </pic:blipFill>
                  <pic:spPr>
                    <a:xfrm>
                      <a:off x="0" y="0"/>
                      <a:ext cx="5342890" cy="2294890"/>
                    </a:xfrm>
                    <a:prstGeom prst="rect">
                      <a:avLst/>
                    </a:prstGeom>
                    <a:noFill/>
                    <a:ln>
                      <a:noFill/>
                    </a:ln>
                  </pic:spPr>
                </pic:pic>
              </a:graphicData>
            </a:graphic>
          </wp:inline>
        </w:drawing>
      </w:r>
    </w:p>
    <w:p>
      <w:pPr>
        <w:pStyle w:val="7"/>
        <w:jc w:val="center"/>
        <w:rPr>
          <w:rFonts w:hint="default" w:ascii="Arial" w:hAnsi="Arial" w:cs="Arial"/>
          <w:sz w:val="20"/>
          <w:szCs w:val="21"/>
          <w:lang w:val="en-US" w:eastAsia="zh-CN"/>
        </w:rPr>
      </w:pPr>
      <w:r>
        <w:rPr>
          <w:rFonts w:hint="default" w:ascii="Arial" w:hAnsi="Arial" w:cs="Arial"/>
          <w:sz w:val="20"/>
          <w:szCs w:val="21"/>
          <w:lang w:val="en-US" w:eastAsia="zh-CN"/>
        </w:rPr>
        <w:t xml:space="preserve">Figure </w:t>
      </w:r>
      <w:r>
        <w:rPr>
          <w:rFonts w:hint="eastAsia" w:ascii="Arial" w:hAnsi="Arial" w:cs="Arial"/>
          <w:sz w:val="20"/>
          <w:szCs w:val="21"/>
          <w:lang w:val="en-US" w:eastAsia="zh-CN"/>
        </w:rPr>
        <w:t>2</w:t>
      </w:r>
      <w:r>
        <w:rPr>
          <w:rFonts w:hint="default" w:ascii="Arial" w:hAnsi="Arial" w:cs="Arial"/>
          <w:sz w:val="20"/>
          <w:szCs w:val="21"/>
          <w:lang w:val="en-US" w:eastAsia="zh-CN"/>
        </w:rPr>
        <w:t xml:space="preserve">. </w:t>
      </w:r>
      <w:r>
        <w:rPr>
          <w:rFonts w:hint="eastAsia" w:ascii="Arial" w:hAnsi="Arial" w:cs="Arial"/>
          <w:sz w:val="20"/>
          <w:szCs w:val="21"/>
          <w:lang w:val="en-US" w:eastAsia="zh-CN"/>
        </w:rPr>
        <w:t>The updated AI/ML f</w:t>
      </w:r>
      <w:r>
        <w:rPr>
          <w:rFonts w:hint="default" w:ascii="Arial" w:hAnsi="Arial" w:cs="Arial"/>
          <w:sz w:val="20"/>
          <w:szCs w:val="21"/>
          <w:lang w:val="en-US" w:eastAsia="zh-CN"/>
        </w:rPr>
        <w:t xml:space="preserve">unctional </w:t>
      </w:r>
      <w:r>
        <w:rPr>
          <w:rFonts w:hint="eastAsia" w:ascii="Arial" w:hAnsi="Arial" w:cs="Arial"/>
          <w:sz w:val="20"/>
          <w:szCs w:val="21"/>
          <w:lang w:val="en-US" w:eastAsia="zh-CN"/>
        </w:rPr>
        <w:t>f</w:t>
      </w:r>
      <w:r>
        <w:rPr>
          <w:rFonts w:hint="default" w:ascii="Arial" w:hAnsi="Arial" w:cs="Arial"/>
          <w:sz w:val="20"/>
          <w:szCs w:val="21"/>
          <w:lang w:val="en-US" w:eastAsia="zh-CN"/>
        </w:rPr>
        <w:t>ramework</w:t>
      </w:r>
    </w:p>
    <w:p>
      <w:pPr>
        <w:pStyle w:val="7"/>
        <w:jc w:val="both"/>
        <w:rPr>
          <w:rFonts w:hint="default" w:ascii="Arial" w:hAnsi="Arial" w:cs="Arial"/>
          <w:sz w:val="20"/>
          <w:szCs w:val="21"/>
          <w:lang w:val="en-US" w:eastAsia="zh-CN"/>
        </w:rPr>
      </w:pPr>
    </w:p>
    <w:p>
      <w:pPr>
        <w:widowControl/>
        <w:spacing w:after="180"/>
        <w:outlineLvl w:val="1"/>
        <w:rPr>
          <w:rFonts w:hint="default" w:ascii="Arial" w:hAnsi="Arial" w:eastAsia="宋体" w:cs="Arial"/>
          <w:kern w:val="0"/>
          <w:sz w:val="20"/>
          <w:szCs w:val="20"/>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Mapping of functions to entities</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last meeting, RAN2 approved a set of tables on mapping of functions to entities for CSI compression, beam management and positioning use case based on outcome of the [Post122][060][AIML] email discussion [6], and some FFSs remain in the tables. For CSI prediction use case, there is no discussion considering no more progress in RAN1 for the time. </w:t>
      </w:r>
    </w:p>
    <w:p>
      <w:pPr>
        <w:pStyle w:val="7"/>
        <w:rPr>
          <w:rFonts w:hint="eastAsia" w:ascii="Arial" w:hAnsi="Arial" w:eastAsia="宋体" w:cs="Arial"/>
          <w:kern w:val="0"/>
          <w:sz w:val="20"/>
          <w:szCs w:val="20"/>
          <w:lang w:val="en-US" w:eastAsia="zh-CN"/>
        </w:rPr>
      </w:pPr>
    </w:p>
    <w:p>
      <w:pPr>
        <w:pStyle w:val="7"/>
        <w:outlineLvl w:val="2"/>
        <w:rPr>
          <w:rFonts w:hint="default" w:ascii="Arial" w:hAnsi="Arial" w:eastAsia="宋体" w:cs="Arial"/>
          <w:kern w:val="0"/>
          <w:sz w:val="18"/>
          <w:szCs w:val="18"/>
          <w:lang w:val="en-US" w:eastAsia="zh-CN"/>
        </w:rPr>
      </w:pPr>
      <w:r>
        <w:rPr>
          <w:rFonts w:hint="eastAsia" w:ascii="Arial" w:hAnsi="Arial" w:eastAsia="宋体" w:cs="Arial"/>
          <w:kern w:val="0"/>
          <w:sz w:val="28"/>
          <w:szCs w:val="16"/>
          <w:lang w:val="en-US" w:eastAsia="zh-CN"/>
        </w:rPr>
        <w:t>2.2.1  FFSs in the tables</w:t>
      </w:r>
    </w:p>
    <w:p>
      <w:pPr>
        <w:pStyle w:val="7"/>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Based on RAN1 reply LS on data collection [7], for beam management with UE-side model, training data can be generated by UE/gNB. Therefore, we think the AI/ML model can be trained at gNB since gNB has the training data, and the model can be transferred from gNB to UE.</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1"/>
              <w:widowControl/>
              <w:numPr>
                <w:ilvl w:val="0"/>
                <w:numId w:val="8"/>
              </w:numPr>
              <w:ind w:firstLineChars="0"/>
              <w:jc w:val="left"/>
              <w:rPr>
                <w:rFonts w:ascii="Arial" w:hAnsi="Arial" w:cs="Arial"/>
                <w:sz w:val="20"/>
                <w:szCs w:val="20"/>
              </w:rPr>
            </w:pPr>
            <w:r>
              <w:rPr>
                <w:rFonts w:ascii="Arial" w:hAnsi="Arial" w:cs="Arial"/>
                <w:sz w:val="20"/>
                <w:szCs w:val="20"/>
              </w:rPr>
              <w:t xml:space="preserve">For </w:t>
            </w:r>
            <w:r>
              <w:rPr>
                <w:rFonts w:ascii="Arial" w:hAnsi="Arial" w:cs="Arial"/>
                <w:strike/>
                <w:color w:val="FF0000"/>
                <w:sz w:val="20"/>
                <w:szCs w:val="20"/>
              </w:rPr>
              <w:t>CSI enhancement and</w:t>
            </w:r>
            <w:r>
              <w:rPr>
                <w:rFonts w:ascii="Arial" w:hAnsi="Arial" w:cs="Arial"/>
                <w:color w:val="FF0000"/>
                <w:sz w:val="20"/>
                <w:szCs w:val="20"/>
              </w:rPr>
              <w:t xml:space="preserve"> </w:t>
            </w:r>
            <w:r>
              <w:rPr>
                <w:rFonts w:ascii="Arial" w:hAnsi="Arial" w:cs="Arial"/>
                <w:sz w:val="20"/>
                <w:szCs w:val="20"/>
              </w:rPr>
              <w:t>beam management use case:</w:t>
            </w:r>
          </w:p>
          <w:p>
            <w:pPr>
              <w:pStyle w:val="21"/>
              <w:numPr>
                <w:ilvl w:val="0"/>
                <w:numId w:val="9"/>
              </w:numPr>
              <w:ind w:left="210" w:leftChars="100" w:firstLineChars="0"/>
              <w:jc w:val="left"/>
              <w:rPr>
                <w:rFonts w:hint="default" w:ascii="Arial" w:hAnsi="Arial" w:eastAsia="宋体" w:cs="Arial"/>
                <w:b w:val="0"/>
                <w:bCs w:val="0"/>
                <w:kern w:val="0"/>
                <w:sz w:val="20"/>
                <w:szCs w:val="20"/>
                <w:vertAlign w:val="baseline"/>
                <w:lang w:val="en-US" w:eastAsia="zh-CN"/>
              </w:rPr>
            </w:pPr>
            <w:r>
              <w:rPr>
                <w:rFonts w:ascii="Arial" w:hAnsi="Arial" w:cs="Arial"/>
                <w:sz w:val="20"/>
                <w:szCs w:val="20"/>
              </w:rPr>
              <w:t>For model training, training data can be generated by UE/gNB</w:t>
            </w:r>
            <w:r>
              <w:rPr>
                <w:rFonts w:ascii="Arial" w:hAnsi="Arial" w:cs="Arial"/>
                <w:strike/>
                <w:color w:val="FF0000"/>
                <w:sz w:val="20"/>
                <w:szCs w:val="20"/>
              </w:rPr>
              <w:t xml:space="preserve"> and terminated at gNB/OAM/OTT server</w:t>
            </w:r>
            <w:r>
              <w:rPr>
                <w:rFonts w:ascii="Arial" w:hAnsi="Arial" w:cs="Arial"/>
                <w:sz w:val="20"/>
                <w:szCs w:val="20"/>
              </w:rPr>
              <w:t>.</w:t>
            </w:r>
          </w:p>
        </w:tc>
      </w:tr>
    </w:tbl>
    <w:p>
      <w:pPr>
        <w:pStyle w:val="7"/>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RAN2 to keep gNB for model training and model transfer/delivery in the mapping of functions-to-entities Tables for beam management with UE-side model.</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positioning with UE-side model, we understand that LMF is applicable for model training because it can collect data (e.g. measurements from UE) for training. Thus, we prefer to keep LMF in the tables.</w:t>
      </w:r>
    </w:p>
    <w:p>
      <w:pPr>
        <w:pStyle w:val="7"/>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4: RAN2 to keep LMF for model training and model transfer/delivery in the mapping of functions-to-entities Tables for positioning with UE-side model.</w:t>
      </w:r>
      <w:r>
        <w:rPr>
          <w:rFonts w:hint="eastAsia" w:ascii="Arial" w:hAnsi="Arial" w:eastAsia="宋体" w:cs="Arial"/>
          <w:kern w:val="0"/>
          <w:sz w:val="20"/>
          <w:szCs w:val="20"/>
          <w:lang w:val="en-US" w:eastAsia="zh-CN"/>
        </w:rPr>
        <w:t xml:space="preserve"> </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feedback and beam management use case, we think that CN is not a good entity for model training because the CSI compression and beam management are purely over air interface which only involves UE and gNB. In addition, it is also hard for CN to understand the physical parameters and determine which AI/ML model is applicable for the specific use case. Thus, model training for CSI feedback and beam management use case shall not reside at CN. </w:t>
      </w:r>
    </w:p>
    <w:p>
      <w:pPr>
        <w:pStyle w:val="7"/>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other remaining FFSs, there is no much support during the post email discussion [6], so we prefer to remove all FFSs except what is proposed in P3 and P4 in the tables.</w:t>
      </w:r>
    </w:p>
    <w:p>
      <w:pPr>
        <w:pStyle w:val="7"/>
        <w:rPr>
          <w:rFonts w:hint="default" w:ascii="Arial" w:hAnsi="Arial" w:eastAsia="宋体" w:cs="Arial"/>
          <w:b w:val="0"/>
          <w:bCs w:val="0"/>
          <w:kern w:val="0"/>
          <w:sz w:val="20"/>
          <w:szCs w:val="20"/>
          <w:lang w:val="en-US" w:eastAsia="zh-CN"/>
        </w:rPr>
      </w:pPr>
      <w:r>
        <w:rPr>
          <w:rFonts w:hint="eastAsia" w:ascii="Arial" w:hAnsi="Arial" w:eastAsia="宋体" w:cs="Arial"/>
          <w:b/>
          <w:bCs/>
          <w:kern w:val="0"/>
          <w:sz w:val="20"/>
          <w:szCs w:val="20"/>
          <w:lang w:val="en-US" w:eastAsia="zh-CN"/>
        </w:rPr>
        <w:t>Proposal 5: RAN2 to remove all FFSs (except what is proposed in P3 and P4) in the mapping of functions-to-entities Tables.</w:t>
      </w:r>
    </w:p>
    <w:p>
      <w:pPr>
        <w:pStyle w:val="7"/>
        <w:rPr>
          <w:rFonts w:hint="default" w:ascii="Arial" w:hAnsi="Arial" w:eastAsia="宋体" w:cs="Arial"/>
          <w:kern w:val="0"/>
          <w:sz w:val="20"/>
          <w:szCs w:val="20"/>
          <w:lang w:val="en-US" w:eastAsia="zh-CN"/>
        </w:rPr>
      </w:pPr>
    </w:p>
    <w:p>
      <w:pPr>
        <w:pStyle w:val="7"/>
        <w:outlineLvl w:val="2"/>
        <w:rPr>
          <w:rFonts w:hint="default" w:ascii="Arial" w:hAnsi="Arial" w:eastAsia="宋体" w:cs="Arial"/>
          <w:kern w:val="0"/>
          <w:sz w:val="18"/>
          <w:szCs w:val="18"/>
          <w:lang w:val="en-US" w:eastAsia="zh-CN"/>
        </w:rPr>
      </w:pPr>
      <w:r>
        <w:rPr>
          <w:rFonts w:hint="eastAsia" w:ascii="Arial" w:hAnsi="Arial" w:eastAsia="宋体" w:cs="Arial"/>
          <w:kern w:val="0"/>
          <w:sz w:val="28"/>
          <w:szCs w:val="16"/>
          <w:lang w:val="en-US" w:eastAsia="zh-CN"/>
        </w:rPr>
        <w:t>2.2.2  CSI prediction</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last RAN1 meeting, some agreements on CSI prediction using UE side model use case were achieved as follows.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0" w:firstLine="0"/>
              <w:rPr>
                <w:rFonts w:hint="default" w:ascii="Times New Roman" w:hAnsi="Times New Roman" w:eastAsia="等线" w:cs="Times New Roman"/>
                <w:sz w:val="20"/>
                <w:szCs w:val="21"/>
                <w:highlight w:val="green"/>
                <w:lang w:val="en-US" w:eastAsia="zh-CN"/>
              </w:rPr>
            </w:pPr>
            <w:r>
              <w:rPr>
                <w:rFonts w:hint="default" w:ascii="Times New Roman" w:hAnsi="Times New Roman" w:eastAsia="等线" w:cs="Times New Roman"/>
                <w:sz w:val="20"/>
                <w:szCs w:val="21"/>
                <w:highlight w:val="green"/>
                <w:lang w:val="en-US" w:eastAsia="zh-CN"/>
              </w:rPr>
              <w:t>Agreement</w:t>
            </w:r>
          </w:p>
          <w:p>
            <w:pPr>
              <w:ind w:left="0" w:firstLine="0"/>
              <w:rPr>
                <w:rFonts w:hint="default" w:ascii="Times New Roman" w:hAnsi="Times New Roman" w:eastAsia="Malgun Gothic" w:cs="Times New Roman"/>
                <w:color w:val="000000"/>
                <w:sz w:val="20"/>
                <w:szCs w:val="18"/>
              </w:rPr>
            </w:pPr>
            <w:r>
              <w:rPr>
                <w:rFonts w:hint="default" w:ascii="Times New Roman" w:hAnsi="Times New Roman" w:eastAsia="Malgun Gothic" w:cs="Times New Roman"/>
                <w:sz w:val="20"/>
                <w:szCs w:val="18"/>
              </w:rPr>
              <w:t xml:space="preserve">For CSI </w:t>
            </w:r>
            <w:r>
              <w:rPr>
                <w:rFonts w:hint="default" w:ascii="Times New Roman" w:hAnsi="Times New Roman" w:eastAsia="Malgun Gothic" w:cs="Times New Roman"/>
                <w:color w:val="000000"/>
                <w:sz w:val="20"/>
                <w:szCs w:val="18"/>
              </w:rPr>
              <w:t>prediction using UE side model use case,</w:t>
            </w:r>
            <w:r>
              <w:rPr>
                <w:rFonts w:hint="default" w:ascii="Times New Roman" w:hAnsi="Times New Roman" w:cs="Times New Roman"/>
                <w:color w:val="000000"/>
                <w:sz w:val="20"/>
                <w:szCs w:val="18"/>
              </w:rPr>
              <w:t xml:space="preserve"> </w:t>
            </w:r>
            <w:r>
              <w:rPr>
                <w:rFonts w:hint="default" w:ascii="Times New Roman" w:hAnsi="Times New Roman" w:eastAsia="Malgun Gothic" w:cs="Times New Roman"/>
                <w:color w:val="000000"/>
                <w:sz w:val="20"/>
                <w:szCs w:val="18"/>
              </w:rPr>
              <w:t>at least the following aspects</w:t>
            </w:r>
            <w:r>
              <w:rPr>
                <w:rFonts w:hint="default" w:ascii="Times New Roman" w:hAnsi="Times New Roman" w:eastAsia="Malgun Gothic" w:cs="Times New Roman"/>
                <w:color w:val="FF0000"/>
                <w:sz w:val="20"/>
                <w:szCs w:val="18"/>
              </w:rPr>
              <w:t xml:space="preserve"> </w:t>
            </w:r>
            <w:r>
              <w:rPr>
                <w:rFonts w:hint="default" w:ascii="Times New Roman" w:hAnsi="Times New Roman" w:eastAsia="Malgun Gothic" w:cs="Times New Roman"/>
                <w:color w:val="000000"/>
                <w:sz w:val="20"/>
                <w:szCs w:val="18"/>
              </w:rPr>
              <w:t xml:space="preserve">have been proposed by companies on performance monitoring </w:t>
            </w:r>
            <w:r>
              <w:rPr>
                <w:rFonts w:hint="default" w:ascii="Times New Roman" w:hAnsi="Times New Roman" w:eastAsia="宋体" w:cs="Times New Roman"/>
                <w:color w:val="000000"/>
                <w:sz w:val="20"/>
                <w:szCs w:val="18"/>
              </w:rPr>
              <w:t>for functionality-based LCM</w:t>
            </w:r>
            <w:r>
              <w:rPr>
                <w:rFonts w:hint="default" w:ascii="Times New Roman" w:hAnsi="Times New Roman" w:eastAsia="Malgun Gothic" w:cs="Times New Roman"/>
                <w:color w:val="000000"/>
                <w:sz w:val="20"/>
                <w:szCs w:val="18"/>
              </w:rPr>
              <w:t xml:space="preserve">: </w:t>
            </w:r>
          </w:p>
          <w:p>
            <w:pPr>
              <w:numPr>
                <w:ilvl w:val="0"/>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rPr>
              <w:t xml:space="preserve">Type 1: </w:t>
            </w:r>
          </w:p>
          <w:p>
            <w:pPr>
              <w:numPr>
                <w:ilvl w:val="1"/>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highlight w:val="yellow"/>
              </w:rPr>
              <w:t>UE calculate the performance metric(s)</w:t>
            </w:r>
            <w:r>
              <w:rPr>
                <w:rFonts w:hint="default" w:ascii="Times New Roman" w:hAnsi="Times New Roman" w:cs="Times New Roman"/>
                <w:strike/>
                <w:color w:val="000000"/>
                <w:sz w:val="20"/>
                <w:szCs w:val="18"/>
              </w:rPr>
              <w:t xml:space="preserve"> </w:t>
            </w:r>
          </w:p>
          <w:p>
            <w:pPr>
              <w:numPr>
                <w:ilvl w:val="1"/>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rPr>
              <w:t>UE reports performance monitoring output that facilitates functionality fallback decision at the network</w:t>
            </w:r>
          </w:p>
          <w:p>
            <w:pPr>
              <w:numPr>
                <w:ilvl w:val="2"/>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rPr>
              <w:t xml:space="preserve">Performance monitoring output details can be further defined </w:t>
            </w:r>
          </w:p>
          <w:p>
            <w:pPr>
              <w:numPr>
                <w:ilvl w:val="2"/>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rPr>
              <w:t xml:space="preserve">NW may configure threshold criterion to facilitate UE side performance monitoring (if needed). </w:t>
            </w:r>
          </w:p>
          <w:p>
            <w:pPr>
              <w:numPr>
                <w:ilvl w:val="1"/>
                <w:numId w:val="10"/>
              </w:numPr>
              <w:rPr>
                <w:rFonts w:hint="default" w:ascii="Times New Roman" w:hAnsi="Times New Roman" w:cs="Times New Roman"/>
                <w:sz w:val="20"/>
                <w:szCs w:val="18"/>
              </w:rPr>
            </w:pPr>
            <w:r>
              <w:rPr>
                <w:rFonts w:hint="default" w:ascii="Times New Roman" w:hAnsi="Times New Roman" w:cs="Times New Roman"/>
                <w:color w:val="C00000"/>
                <w:sz w:val="20"/>
                <w:szCs w:val="18"/>
              </w:rPr>
              <w:t>NW makes decision(s) of functionality fallback operation</w:t>
            </w:r>
            <w:r>
              <w:rPr>
                <w:rFonts w:hint="default" w:ascii="Times New Roman" w:hAnsi="Times New Roman" w:cs="Times New Roman"/>
                <w:sz w:val="20"/>
                <w:szCs w:val="18"/>
              </w:rPr>
              <w:t xml:space="preserve"> (f</w:t>
            </w:r>
            <w:r>
              <w:rPr>
                <w:rFonts w:hint="default" w:ascii="Times New Roman" w:hAnsi="Times New Roman" w:eastAsia="等线" w:cs="Times New Roman"/>
                <w:sz w:val="20"/>
                <w:szCs w:val="21"/>
                <w:lang w:val="en-US" w:eastAsia="zh-CN"/>
              </w:rPr>
              <w:t>allback mechanism to legacy CSI reporting</w:t>
            </w:r>
            <w:r>
              <w:rPr>
                <w:rFonts w:hint="default" w:ascii="Times New Roman" w:hAnsi="Times New Roman" w:cs="Times New Roman"/>
                <w:sz w:val="20"/>
                <w:szCs w:val="18"/>
              </w:rPr>
              <w:t xml:space="preserve">). </w:t>
            </w:r>
          </w:p>
          <w:p>
            <w:pPr>
              <w:numPr>
                <w:ilvl w:val="0"/>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rPr>
              <w:t xml:space="preserve">Type 2: </w:t>
            </w:r>
          </w:p>
          <w:p>
            <w:pPr>
              <w:numPr>
                <w:ilvl w:val="1"/>
                <w:numId w:val="10"/>
              </w:numPr>
              <w:rPr>
                <w:rFonts w:hint="default" w:ascii="Times New Roman" w:hAnsi="Times New Roman" w:cs="Times New Roman"/>
                <w:color w:val="000000"/>
                <w:sz w:val="20"/>
                <w:szCs w:val="18"/>
              </w:rPr>
            </w:pPr>
            <w:r>
              <w:rPr>
                <w:rFonts w:hint="default" w:ascii="Times New Roman" w:hAnsi="Times New Roman" w:eastAsia="等线" w:cs="Times New Roman"/>
                <w:color w:val="000000"/>
                <w:sz w:val="20"/>
                <w:szCs w:val="18"/>
              </w:rPr>
              <w:t xml:space="preserve">UE reports predicted CSI and/or the corresponding ground truth  </w:t>
            </w:r>
          </w:p>
          <w:p>
            <w:pPr>
              <w:numPr>
                <w:ilvl w:val="1"/>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highlight w:val="yellow"/>
              </w:rPr>
              <w:t>NW calculates the performance metrics</w:t>
            </w:r>
            <w:r>
              <w:rPr>
                <w:rFonts w:hint="default" w:ascii="Times New Roman" w:hAnsi="Times New Roman" w:cs="Times New Roman"/>
                <w:color w:val="000000"/>
                <w:sz w:val="20"/>
                <w:szCs w:val="18"/>
              </w:rPr>
              <w:t xml:space="preserve">. </w:t>
            </w:r>
          </w:p>
          <w:p>
            <w:pPr>
              <w:numPr>
                <w:ilvl w:val="1"/>
                <w:numId w:val="10"/>
              </w:numPr>
              <w:rPr>
                <w:rFonts w:hint="default" w:ascii="Times New Roman" w:hAnsi="Times New Roman" w:cs="Times New Roman"/>
                <w:color w:val="000000"/>
                <w:sz w:val="20"/>
                <w:szCs w:val="18"/>
              </w:rPr>
            </w:pPr>
            <w:r>
              <w:rPr>
                <w:rFonts w:hint="default" w:ascii="Times New Roman" w:hAnsi="Times New Roman" w:cs="Times New Roman"/>
                <w:color w:val="C00000"/>
                <w:sz w:val="20"/>
                <w:szCs w:val="18"/>
              </w:rPr>
              <w:t>NW makes decision(s) of functionality fallback operation</w:t>
            </w:r>
            <w:r>
              <w:rPr>
                <w:rFonts w:hint="default" w:ascii="Times New Roman" w:hAnsi="Times New Roman" w:cs="Times New Roman"/>
                <w:color w:val="000000"/>
                <w:sz w:val="20"/>
                <w:szCs w:val="18"/>
              </w:rPr>
              <w:t xml:space="preserve"> </w:t>
            </w:r>
            <w:r>
              <w:rPr>
                <w:rFonts w:hint="default" w:ascii="Times New Roman" w:hAnsi="Times New Roman" w:cs="Times New Roman"/>
                <w:sz w:val="20"/>
                <w:szCs w:val="18"/>
              </w:rPr>
              <w:t>(f</w:t>
            </w:r>
            <w:r>
              <w:rPr>
                <w:rFonts w:hint="default" w:ascii="Times New Roman" w:hAnsi="Times New Roman" w:eastAsia="等线" w:cs="Times New Roman"/>
                <w:sz w:val="20"/>
                <w:szCs w:val="21"/>
                <w:lang w:val="en-US" w:eastAsia="zh-CN"/>
              </w:rPr>
              <w:t>allback mechanism to legacy CSI reporting</w:t>
            </w:r>
            <w:r>
              <w:rPr>
                <w:rFonts w:hint="default" w:ascii="Times New Roman" w:hAnsi="Times New Roman" w:cs="Times New Roman"/>
                <w:sz w:val="20"/>
                <w:szCs w:val="18"/>
              </w:rPr>
              <w:t>)</w:t>
            </w:r>
            <w:r>
              <w:rPr>
                <w:rFonts w:hint="default" w:ascii="Times New Roman" w:hAnsi="Times New Roman" w:cs="Times New Roman"/>
                <w:color w:val="000000"/>
                <w:sz w:val="20"/>
                <w:szCs w:val="18"/>
              </w:rPr>
              <w:t>.</w:t>
            </w:r>
          </w:p>
          <w:p>
            <w:pPr>
              <w:numPr>
                <w:ilvl w:val="0"/>
                <w:numId w:val="10"/>
              </w:numPr>
              <w:rPr>
                <w:rFonts w:hint="default" w:ascii="Times New Roman" w:hAnsi="Times New Roman" w:cs="Times New Roman"/>
                <w:color w:val="000000"/>
                <w:sz w:val="20"/>
                <w:szCs w:val="18"/>
              </w:rPr>
            </w:pPr>
            <w:r>
              <w:rPr>
                <w:rFonts w:hint="default" w:ascii="Times New Roman" w:hAnsi="Times New Roman" w:cs="Times New Roman"/>
                <w:color w:val="000000"/>
                <w:sz w:val="20"/>
                <w:szCs w:val="18"/>
              </w:rPr>
              <w:t xml:space="preserve">Type 3: </w:t>
            </w:r>
          </w:p>
          <w:p>
            <w:pPr>
              <w:numPr>
                <w:ilvl w:val="1"/>
                <w:numId w:val="10"/>
              </w:numPr>
              <w:rPr>
                <w:rFonts w:hint="default" w:ascii="Times New Roman" w:hAnsi="Times New Roman" w:cs="Times New Roman"/>
                <w:sz w:val="20"/>
                <w:szCs w:val="18"/>
              </w:rPr>
            </w:pPr>
            <w:r>
              <w:rPr>
                <w:rFonts w:hint="default" w:ascii="Times New Roman" w:hAnsi="Times New Roman" w:cs="Times New Roman"/>
                <w:sz w:val="20"/>
                <w:szCs w:val="18"/>
                <w:highlight w:val="yellow"/>
              </w:rPr>
              <w:t>UE calculate the performance metric</w:t>
            </w:r>
            <w:r>
              <w:rPr>
                <w:rFonts w:hint="default" w:ascii="Times New Roman" w:hAnsi="Times New Roman" w:cs="Times New Roman"/>
                <w:sz w:val="20"/>
                <w:szCs w:val="18"/>
              </w:rPr>
              <w:t>(s)</w:t>
            </w:r>
            <w:r>
              <w:rPr>
                <w:rFonts w:hint="default" w:ascii="Times New Roman" w:hAnsi="Times New Roman" w:cs="Times New Roman"/>
                <w:strike/>
                <w:sz w:val="20"/>
                <w:szCs w:val="18"/>
              </w:rPr>
              <w:t xml:space="preserve"> </w:t>
            </w:r>
          </w:p>
          <w:p>
            <w:pPr>
              <w:numPr>
                <w:ilvl w:val="1"/>
                <w:numId w:val="10"/>
              </w:numPr>
              <w:rPr>
                <w:rFonts w:hint="default" w:ascii="Times New Roman" w:hAnsi="Times New Roman" w:cs="Times New Roman"/>
                <w:sz w:val="20"/>
                <w:szCs w:val="18"/>
              </w:rPr>
            </w:pPr>
            <w:r>
              <w:rPr>
                <w:rFonts w:hint="default" w:ascii="Times New Roman" w:hAnsi="Times New Roman" w:cs="Times New Roman"/>
                <w:sz w:val="20"/>
                <w:szCs w:val="18"/>
              </w:rPr>
              <w:t>UE report performance metric(s) to the NW</w:t>
            </w:r>
          </w:p>
          <w:p>
            <w:pPr>
              <w:numPr>
                <w:ilvl w:val="1"/>
                <w:numId w:val="10"/>
              </w:numPr>
              <w:rPr>
                <w:rFonts w:hint="default" w:ascii="Times New Roman" w:hAnsi="Times New Roman" w:cs="Times New Roman"/>
                <w:sz w:val="20"/>
                <w:szCs w:val="18"/>
              </w:rPr>
            </w:pPr>
            <w:r>
              <w:rPr>
                <w:rFonts w:hint="default" w:ascii="Times New Roman" w:hAnsi="Times New Roman" w:cs="Times New Roman"/>
                <w:color w:val="C00000"/>
                <w:sz w:val="20"/>
                <w:szCs w:val="18"/>
              </w:rPr>
              <w:t>NW makes decision(s) of functionality fallback operation</w:t>
            </w:r>
            <w:r>
              <w:rPr>
                <w:rFonts w:hint="default" w:ascii="Times New Roman" w:hAnsi="Times New Roman" w:cs="Times New Roman"/>
                <w:sz w:val="20"/>
                <w:szCs w:val="18"/>
              </w:rPr>
              <w:t xml:space="preserve"> (f</w:t>
            </w:r>
            <w:r>
              <w:rPr>
                <w:rFonts w:hint="default" w:ascii="Times New Roman" w:hAnsi="Times New Roman" w:eastAsia="等线" w:cs="Times New Roman"/>
                <w:sz w:val="20"/>
                <w:szCs w:val="21"/>
                <w:lang w:val="en-US" w:eastAsia="zh-CN"/>
              </w:rPr>
              <w:t>allback mechanism to legacy CSI reporting</w:t>
            </w:r>
            <w:r>
              <w:rPr>
                <w:rFonts w:hint="default" w:ascii="Times New Roman" w:hAnsi="Times New Roman" w:cs="Times New Roman"/>
                <w:sz w:val="20"/>
                <w:szCs w:val="18"/>
              </w:rPr>
              <w:t xml:space="preserve">). </w:t>
            </w:r>
          </w:p>
          <w:p>
            <w:pPr>
              <w:numPr>
                <w:ilvl w:val="0"/>
                <w:numId w:val="10"/>
              </w:numPr>
              <w:rPr>
                <w:rFonts w:hint="default" w:ascii="Times New Roman" w:hAnsi="Times New Roman" w:cs="Times New Roman"/>
                <w:color w:val="C00000"/>
                <w:sz w:val="20"/>
                <w:szCs w:val="18"/>
              </w:rPr>
            </w:pPr>
            <w:r>
              <w:rPr>
                <w:rFonts w:hint="default" w:ascii="Times New Roman" w:hAnsi="Times New Roman" w:cs="Times New Roman"/>
                <w:color w:val="C00000"/>
                <w:sz w:val="20"/>
                <w:szCs w:val="18"/>
              </w:rPr>
              <w:t xml:space="preserve">Functionality selection/activation/ deactivation/switching </w:t>
            </w:r>
            <w:r>
              <w:rPr>
                <w:rFonts w:hint="default" w:ascii="Times New Roman" w:hAnsi="Times New Roman" w:eastAsia="等线" w:cs="Times New Roman"/>
                <w:color w:val="C00000"/>
                <w:sz w:val="20"/>
                <w:szCs w:val="21"/>
                <w:lang w:val="en-US" w:eastAsia="zh-CN"/>
              </w:rPr>
              <w:t>what is defined for other UE side use cases</w:t>
            </w:r>
            <w:r>
              <w:rPr>
                <w:rFonts w:hint="default" w:ascii="Times New Roman" w:hAnsi="Times New Roman" w:cs="Times New Roman"/>
                <w:color w:val="C00000"/>
                <w:sz w:val="20"/>
                <w:szCs w:val="18"/>
              </w:rPr>
              <w:t xml:space="preserve"> can be reused, if applicable. </w:t>
            </w:r>
          </w:p>
          <w:p>
            <w:pPr>
              <w:numPr>
                <w:ilvl w:val="0"/>
                <w:numId w:val="10"/>
              </w:numPr>
              <w:rPr>
                <w:rFonts w:hint="default" w:ascii="Times New Roman" w:hAnsi="Times New Roman" w:cs="Times New Roman"/>
                <w:sz w:val="20"/>
                <w:szCs w:val="18"/>
              </w:rPr>
            </w:pPr>
            <w:r>
              <w:rPr>
                <w:rFonts w:hint="default" w:ascii="Times New Roman" w:hAnsi="Times New Roman" w:cs="Times New Roman"/>
                <w:sz w:val="20"/>
                <w:szCs w:val="18"/>
              </w:rPr>
              <w:t xml:space="preserve">Configuration and procedure for performance monitoring </w:t>
            </w:r>
          </w:p>
          <w:p>
            <w:pPr>
              <w:numPr>
                <w:ilvl w:val="1"/>
                <w:numId w:val="10"/>
              </w:numPr>
              <w:rPr>
                <w:rFonts w:hint="default" w:ascii="Times New Roman" w:hAnsi="Times New Roman" w:cs="Times New Roman"/>
                <w:sz w:val="20"/>
                <w:szCs w:val="21"/>
              </w:rPr>
            </w:pPr>
            <w:r>
              <w:rPr>
                <w:rFonts w:hint="default" w:ascii="Times New Roman" w:hAnsi="Times New Roman" w:cs="Times New Roman"/>
                <w:sz w:val="20"/>
                <w:szCs w:val="18"/>
              </w:rPr>
              <w:t>CSI-RS configuration for performance monitoring</w:t>
            </w:r>
          </w:p>
          <w:p>
            <w:pPr>
              <w:numPr>
                <w:ilvl w:val="0"/>
                <w:numId w:val="10"/>
              </w:numPr>
              <w:rPr>
                <w:rFonts w:hint="default" w:ascii="Times New Roman" w:hAnsi="Times New Roman" w:cs="Times New Roman"/>
                <w:strike/>
                <w:sz w:val="20"/>
                <w:szCs w:val="21"/>
              </w:rPr>
            </w:pPr>
            <w:r>
              <w:rPr>
                <w:rFonts w:hint="default" w:ascii="Times New Roman" w:hAnsi="Times New Roman" w:cs="Times New Roman"/>
                <w:sz w:val="20"/>
                <w:szCs w:val="18"/>
              </w:rPr>
              <w:t>Performance metric including at least intermediate KPI (e.g., NMSE or SGCS)</w:t>
            </w:r>
          </w:p>
          <w:p>
            <w:pPr>
              <w:numPr>
                <w:ilvl w:val="0"/>
                <w:numId w:val="10"/>
              </w:numPr>
              <w:rPr>
                <w:rFonts w:hint="default" w:ascii="Times New Roman" w:hAnsi="Times New Roman" w:eastAsia="Malgun Gothic" w:cs="Times New Roman"/>
                <w:sz w:val="20"/>
                <w:szCs w:val="18"/>
              </w:rPr>
            </w:pPr>
            <w:r>
              <w:rPr>
                <w:rFonts w:hint="default" w:ascii="Times New Roman" w:hAnsi="Times New Roman" w:cs="Times New Roman"/>
                <w:sz w:val="20"/>
                <w:szCs w:val="18"/>
              </w:rPr>
              <w:t>UE report, including periodic/semi-persistent/aperiodic reporting, and event driven report.</w:t>
            </w:r>
          </w:p>
          <w:p>
            <w:pPr>
              <w:numPr>
                <w:ilvl w:val="0"/>
                <w:numId w:val="10"/>
              </w:numPr>
              <w:rPr>
                <w:rFonts w:hint="default" w:ascii="Times New Roman" w:hAnsi="Times New Roman" w:eastAsia="等线" w:cs="Times New Roman"/>
                <w:sz w:val="20"/>
                <w:szCs w:val="21"/>
              </w:rPr>
            </w:pPr>
            <w:r>
              <w:rPr>
                <w:rFonts w:hint="default" w:ascii="Times New Roman" w:hAnsi="Times New Roman" w:cs="Times New Roman"/>
                <w:sz w:val="20"/>
                <w:szCs w:val="18"/>
              </w:rPr>
              <w:t>Note: down selection is not precluded.</w:t>
            </w:r>
          </w:p>
          <w:p>
            <w:pPr>
              <w:numPr>
                <w:ilvl w:val="0"/>
                <w:numId w:val="10"/>
              </w:numPr>
              <w:rPr>
                <w:rFonts w:hint="default" w:ascii="Arial" w:hAnsi="Arial" w:eastAsia="宋体" w:cs="Arial"/>
                <w:kern w:val="0"/>
                <w:sz w:val="20"/>
                <w:szCs w:val="20"/>
                <w:vertAlign w:val="baseline"/>
                <w:lang w:val="en-US" w:eastAsia="zh-CN"/>
              </w:rPr>
            </w:pPr>
            <w:r>
              <w:rPr>
                <w:rFonts w:hint="default" w:ascii="Times New Roman" w:hAnsi="Times New Roman" w:cs="Times New Roman"/>
                <w:color w:val="C00000"/>
                <w:sz w:val="20"/>
                <w:szCs w:val="18"/>
              </w:rPr>
              <w:t xml:space="preserve">Note: UE may make decision within the same functionality on model selection, activation, deactivation, switching operation transparent to the NW. </w:t>
            </w:r>
          </w:p>
        </w:tc>
      </w:tr>
    </w:tbl>
    <w:p>
      <w:pPr>
        <w:keepNext w:val="0"/>
        <w:keepLines w:val="0"/>
        <w:pageBreakBefore w:val="0"/>
        <w:widowControl/>
        <w:kinsoku/>
        <w:wordWrap/>
        <w:overflowPunct/>
        <w:topLinePunct w:val="0"/>
        <w:autoSpaceDE/>
        <w:autoSpaceDN/>
        <w:bidi w:val="0"/>
        <w:adjustRightInd/>
        <w:snapToGrid/>
        <w:spacing w:before="0" w:beforeLines="50" w:after="120"/>
        <w:textAlignment w:val="auto"/>
        <w:rPr>
          <w:rFonts w:hint="eastAsia" w:ascii="Arial" w:hAnsi="Arial" w:eastAsia="宋体" w:cs="Arial"/>
          <w:kern w:val="0"/>
          <w:sz w:val="20"/>
          <w:szCs w:val="20"/>
          <w:lang w:val="en-US" w:eastAsia="zh-CN"/>
        </w:rPr>
      </w:pPr>
      <w:bookmarkStart w:id="0" w:name="_GoBack"/>
      <w:bookmarkEnd w:id="0"/>
      <w:r>
        <w:rPr>
          <w:rFonts w:hint="eastAsia" w:ascii="Arial" w:hAnsi="Arial" w:eastAsia="宋体" w:cs="Arial"/>
          <w:kern w:val="0"/>
          <w:sz w:val="20"/>
          <w:szCs w:val="20"/>
          <w:lang w:val="en-US" w:eastAsia="zh-CN"/>
        </w:rPr>
        <w:t xml:space="preserve">For model training, model transfer/delivery and inference, the similar principle to beam management with UE-side model can be applied. Specially, model training can reside at UE-side OTT server, UE and gNB, model transfer/delivery can be from UE-side OTT server to UE or from gNB to UE if needed, inference resides at UE side. </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performance monitoring, RAN1 agreed both gNB and UE can calculate the performance metrics for functionality-based LCM.</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functionality control, as per RAN1 agreements, NW makes decision of functionality fallback operation, and regarding to functionality selection/activation/deactivation/switching, what is defined for other UE side use cased can be reused if applicable. We think the mapping for beam management with UE-side model can be applied, i.e. both UE and gNB can make decisions for functionality selection/activation/deactivation/switching.</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model control, RAN1 has a note that </w:t>
      </w:r>
      <w:r>
        <w:rPr>
          <w:rFonts w:hint="eastAsia" w:ascii="Arial" w:hAnsi="Arial" w:eastAsia="宋体" w:cs="Arial"/>
          <w:i/>
          <w:iCs/>
          <w:kern w:val="0"/>
          <w:sz w:val="20"/>
          <w:szCs w:val="20"/>
          <w:lang w:val="en-US" w:eastAsia="zh-CN"/>
        </w:rPr>
        <w:t>UE may make decision within the same functionality on model selection, activation, deactivation, switching operation transparent to the NW</w:t>
      </w:r>
      <w:r>
        <w:rPr>
          <w:rFonts w:hint="eastAsia" w:ascii="Arial" w:hAnsi="Arial" w:eastAsia="宋体" w:cs="Arial"/>
          <w:kern w:val="0"/>
          <w:sz w:val="20"/>
          <w:szCs w:val="20"/>
          <w:lang w:val="en-US" w:eastAsia="zh-CN"/>
        </w:rPr>
        <w:t xml:space="preserve">. Therefore, we think the model control and model monitoring reside at UE side. </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Based on the above analysis, the </w:t>
      </w:r>
      <w:r>
        <w:rPr>
          <w:rFonts w:hint="eastAsia" w:ascii="Arial" w:hAnsi="Arial" w:eastAsia="宋体" w:cs="Arial"/>
          <w:sz w:val="20"/>
          <w:szCs w:val="21"/>
          <w:lang w:val="en-US" w:eastAsia="zh-CN"/>
        </w:rPr>
        <w:t>mapping of AI/ML functions to physical entities for CSI prediction with UE-side model is shown in Table 1.</w:t>
      </w:r>
    </w:p>
    <w:p>
      <w:pPr>
        <w:keepNext w:val="0"/>
        <w:keepLines w:val="0"/>
        <w:pageBreakBefore w:val="0"/>
        <w:widowControl w:val="0"/>
        <w:kinsoku/>
        <w:wordWrap/>
        <w:overflowPunct/>
        <w:topLinePunct w:val="0"/>
        <w:autoSpaceDE/>
        <w:autoSpaceDN/>
        <w:bidi w:val="0"/>
        <w:adjustRightInd/>
        <w:snapToGrid/>
        <w:spacing w:before="156" w:beforeLines="50" w:after="120"/>
        <w:jc w:val="center"/>
        <w:textAlignment w:val="auto"/>
        <w:rPr>
          <w:rFonts w:hint="eastAsia" w:ascii="Arial" w:hAnsi="Arial" w:eastAsia="宋体" w:cs="Arial"/>
          <w:sz w:val="20"/>
          <w:szCs w:val="21"/>
          <w:lang w:val="en-US" w:eastAsia="zh-CN"/>
        </w:rPr>
      </w:pPr>
      <w:r>
        <w:rPr>
          <w:rFonts w:hint="eastAsia" w:ascii="Arial" w:hAnsi="Arial" w:eastAsia="宋体" w:cs="Arial"/>
          <w:sz w:val="20"/>
          <w:szCs w:val="21"/>
          <w:lang w:val="en-US" w:eastAsia="zh-CN"/>
        </w:rPr>
        <w:t>Table 1: The mapping of AI/ML functions to physical entities for CSI prediction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1460"/>
        <w:gridCol w:w="2491"/>
        <w:gridCol w:w="4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AL/ML functions (if applicable)</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a)</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Model training</w:t>
            </w:r>
            <w:r>
              <w:rPr>
                <w:rFonts w:hint="eastAsia" w:ascii="Arial" w:hAnsi="Arial" w:eastAsia="宋体" w:cs="Arial"/>
                <w:sz w:val="20"/>
                <w:szCs w:val="21"/>
                <w:lang w:val="en-US" w:eastAsia="zh-CN"/>
              </w:rPr>
              <w:t>(offline training)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w:t>
            </w:r>
            <w:r>
              <w:rPr>
                <w:rFonts w:hint="eastAsia" w:ascii="Arial" w:hAnsi="Arial" w:eastAsia="宋体" w:cs="Arial"/>
                <w:sz w:val="20"/>
                <w:szCs w:val="21"/>
                <w:lang w:val="en-US" w:eastAsia="zh-CN"/>
              </w:rPr>
              <w:t>, UE, gNB</w:t>
            </w:r>
            <w:r>
              <w:rPr>
                <w:rFonts w:ascii="Arial" w:hAnsi="Arial" w:eastAsia="宋体" w:cs="Arial"/>
                <w:sz w:val="2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b)</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ascii="Arial" w:hAnsi="Arial" w:eastAsia="宋体" w:cs="Arial"/>
                <w:bCs/>
                <w:kern w:val="2"/>
                <w:sz w:val="20"/>
                <w:szCs w:val="21"/>
                <w:lang w:val="en-US" w:eastAsia="zh-CN"/>
              </w:rPr>
              <w:t>Model transfer/delivery</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server-&gt;UE</w:t>
            </w:r>
            <w:r>
              <w:rPr>
                <w:rFonts w:hint="eastAsia" w:ascii="Arial" w:hAnsi="Arial" w:eastAsia="宋体" w:cs="Arial"/>
                <w:sz w:val="20"/>
                <w:szCs w:val="21"/>
                <w:lang w:val="en-US" w:eastAsia="zh-CN"/>
              </w:rPr>
              <w:t>, gNB-&gt;UE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c)</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hint="eastAsia" w:ascii="Arial" w:hAnsi="Arial" w:eastAsia="宋体" w:cs="Arial"/>
                <w:bCs/>
                <w:kern w:val="2"/>
                <w:sz w:val="20"/>
                <w:szCs w:val="21"/>
                <w:lang w:val="en-US" w:eastAsia="zh-CN"/>
              </w:rPr>
              <w:t>I</w:t>
            </w:r>
            <w:r>
              <w:rPr>
                <w:rFonts w:ascii="Arial" w:hAnsi="Arial" w:eastAsia="宋体" w:cs="Arial"/>
                <w:bCs/>
                <w:kern w:val="2"/>
                <w:sz w:val="20"/>
                <w:szCs w:val="21"/>
                <w:lang w:val="en-US" w:eastAsia="zh-CN"/>
              </w:rPr>
              <w:t>nference</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d)</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sz w:val="20"/>
                <w:szCs w:val="21"/>
                <w:lang w:val="en-US" w:eastAsia="zh-CN"/>
              </w:rPr>
            </w:pPr>
            <w:r>
              <w:rPr>
                <w:rFonts w:hint="eastAsia" w:ascii="Arial" w:hAnsi="Arial" w:eastAsia="宋体" w:cs="Arial"/>
                <w:bCs/>
                <w:sz w:val="20"/>
                <w:szCs w:val="21"/>
                <w:lang w:val="en-US" w:eastAsia="zh-CN"/>
              </w:rPr>
              <w:t>Performance monitoring</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monitoring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r>
              <w:rPr>
                <w:rFonts w:hint="eastAsia" w:ascii="Arial" w:hAnsi="Arial" w:eastAsia="宋体" w:cs="Arial"/>
                <w:kern w:val="2"/>
                <w:sz w:val="20"/>
                <w:szCs w:val="21"/>
                <w:lang w:val="en-US" w:eastAsia="zh-CN"/>
              </w:rPr>
              <w:t xml:space="preserve"> (UE monitors the performance, and reports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 monitoring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e)</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w:t>
            </w:r>
            <w:r>
              <w:rPr>
                <w:rFonts w:ascii="Arial" w:hAnsi="Arial" w:eastAsia="宋体" w:cs="Arial"/>
                <w:bCs/>
                <w:kern w:val="2"/>
                <w:sz w:val="20"/>
                <w:szCs w:val="21"/>
                <w:lang w:val="en-US" w:eastAsia="zh-CN"/>
              </w:rPr>
              <w:t>functionality control</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Model </w:t>
            </w:r>
            <w:r>
              <w:rPr>
                <w:rFonts w:ascii="Arial" w:hAnsi="Arial" w:eastAsia="宋体" w:cs="Arial"/>
                <w:bCs/>
                <w:kern w:val="2"/>
                <w:sz w:val="20"/>
                <w:szCs w:val="21"/>
                <w:lang w:val="en-US" w:eastAsia="zh-CN"/>
              </w:rPr>
              <w:t>selection, (de)activation, switching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selection, (de)activation, switching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Functionality fallback</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gNB</w:t>
            </w:r>
          </w:p>
        </w:tc>
      </w:tr>
    </w:tbl>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Note 1: F</w:t>
      </w:r>
      <w:r>
        <w:rPr>
          <w:rFonts w:ascii="Arial" w:hAnsi="Arial" w:eastAsia="宋体" w:cs="Arial"/>
          <w:sz w:val="20"/>
          <w:szCs w:val="21"/>
          <w:lang w:val="en-US" w:eastAsia="zh-CN"/>
        </w:rPr>
        <w:t>or a)</w:t>
      </w:r>
      <w:r>
        <w:rPr>
          <w:rFonts w:hint="eastAsia" w:ascii="Arial" w:hAnsi="Arial" w:eastAsia="宋体" w:cs="Arial"/>
          <w:sz w:val="20"/>
          <w:szCs w:val="21"/>
          <w:lang w:val="en-US" w:eastAsia="zh-CN"/>
        </w:rPr>
        <w:t>,</w:t>
      </w:r>
      <w:r>
        <w:rPr>
          <w:rFonts w:ascii="Arial" w:hAnsi="Arial" w:eastAsia="宋体" w:cs="Arial"/>
          <w:sz w:val="20"/>
          <w:szCs w:val="21"/>
          <w:lang w:val="en-US" w:eastAsia="zh-CN"/>
        </w:rPr>
        <w:t xml:space="preserve"> only data collection part may be further discussed</w:t>
      </w:r>
      <w:r>
        <w:rPr>
          <w:rFonts w:hint="eastAsia" w:ascii="Arial" w:hAnsi="Arial" w:eastAsia="宋体" w:cs="Arial"/>
          <w:sz w:val="20"/>
          <w:szCs w:val="21"/>
          <w:lang w:val="en-US" w:eastAsia="zh-CN"/>
        </w:rPr>
        <w:t>, how to perform the model training is up to implementation</w:t>
      </w:r>
      <w:r>
        <w:rPr>
          <w:rFonts w:ascii="Arial" w:hAnsi="Arial" w:eastAsia="宋体" w:cs="Arial"/>
          <w:sz w:val="20"/>
          <w:szCs w:val="21"/>
          <w:lang w:val="en-US" w:eastAsia="zh-CN"/>
        </w:rPr>
        <w:t>.</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Note 2: For b), no model transfer/delivery is expected if the entity for model training and model inference is the same one.</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The Table 1 can be used as starting point for discussion on the mapping of AI/ML functionality to entities for CSI prediction with UE-side model.</w:t>
      </w:r>
    </w:p>
    <w:p>
      <w:pPr>
        <w:widowControl/>
        <w:spacing w:before="120" w:beforeLines="50" w:after="180"/>
        <w:rPr>
          <w:rFonts w:hint="default"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the general aspects of AI/ML framework</w:t>
      </w:r>
      <w:r>
        <w:rPr>
          <w:rFonts w:ascii="Arial" w:hAnsi="Arial" w:eastAsia="宋体" w:cs="Arial"/>
          <w:kern w:val="0"/>
          <w:sz w:val="20"/>
          <w:szCs w:val="20"/>
          <w:lang w:val="en-GB" w:eastAsia="en-US"/>
        </w:rPr>
        <w:t>.</w:t>
      </w:r>
    </w:p>
    <w:p>
      <w:pPr>
        <w:pStyle w:val="7"/>
        <w:rPr>
          <w:rFonts w:hint="eastAsia"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General AI/ML framework:</w:t>
      </w:r>
    </w:p>
    <w:p>
      <w:pPr>
        <w:pStyle w:val="7"/>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The data/information flow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Monitoring output</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is renamed to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Inference output</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2: Remove the word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model</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from the data/information flow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Model selection/(de)activation/switching/fallback</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to cover both functionality-based LCM and model ID- based LCM. </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general framework is just for information, so it is unnecessary to discuss whether each LCM function is mandatory or optional, or whether each arrow is solid or dashed.</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The current framework can cover both model ID-based LCM and functionality-based LCM, and there is no need to separate it.</w:t>
      </w:r>
    </w:p>
    <w:p>
      <w:pPr>
        <w:pStyle w:val="7"/>
        <w:rPr>
          <w:rFonts w:hint="default"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Mapping of functionality to entities:</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RAN2 to keep gNB for model training and model transfer/delivery in the mapping of functions-to-entities Tables for beam management with UE-side model.</w:t>
      </w:r>
    </w:p>
    <w:p>
      <w:pPr>
        <w:pStyle w:val="7"/>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4: RAN2 to keep LMF for model training and model transfer/delivery in the mapping of functions-to-entities Tables for positioning with UE-side model.</w:t>
      </w:r>
      <w:r>
        <w:rPr>
          <w:rFonts w:hint="eastAsia" w:ascii="Arial" w:hAnsi="Arial" w:eastAsia="宋体" w:cs="Arial"/>
          <w:kern w:val="0"/>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RAN2 to remove all FFSs (except what is proposed in P3 and P4) in the mapping of functions-to-entities Tables.</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The Table 1 can be used as starting point for discussion on the mapping of AI/ML functionality to entities for CSI prediction with UE-side model.</w:t>
      </w:r>
    </w:p>
    <w:p>
      <w:pPr>
        <w:keepNext w:val="0"/>
        <w:keepLines w:val="0"/>
        <w:pageBreakBefore w:val="0"/>
        <w:widowControl w:val="0"/>
        <w:kinsoku/>
        <w:wordWrap/>
        <w:overflowPunct/>
        <w:topLinePunct w:val="0"/>
        <w:autoSpaceDE/>
        <w:autoSpaceDN/>
        <w:bidi w:val="0"/>
        <w:adjustRightInd/>
        <w:snapToGrid/>
        <w:spacing w:before="156" w:beforeLines="50" w:after="120"/>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Table 1: The mapping of AI/ML functions to physical entities for CSI prediction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1460"/>
        <w:gridCol w:w="2491"/>
        <w:gridCol w:w="4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AL/ML functions (if applicable)</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a)</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Model training</w:t>
            </w:r>
            <w:r>
              <w:rPr>
                <w:rFonts w:hint="eastAsia" w:ascii="Arial" w:hAnsi="Arial" w:eastAsia="宋体" w:cs="Arial"/>
                <w:sz w:val="20"/>
                <w:szCs w:val="21"/>
                <w:lang w:val="en-US" w:eastAsia="zh-CN"/>
              </w:rPr>
              <w:t>(offline training)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w:t>
            </w:r>
            <w:r>
              <w:rPr>
                <w:rFonts w:hint="eastAsia" w:ascii="Arial" w:hAnsi="Arial" w:eastAsia="宋体" w:cs="Arial"/>
                <w:sz w:val="20"/>
                <w:szCs w:val="21"/>
                <w:lang w:val="en-US" w:eastAsia="zh-CN"/>
              </w:rPr>
              <w:t>, UE, gNB</w:t>
            </w:r>
            <w:r>
              <w:rPr>
                <w:rFonts w:ascii="Arial" w:hAnsi="Arial" w:eastAsia="宋体" w:cs="Arial"/>
                <w:sz w:val="2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b)</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ascii="Arial" w:hAnsi="Arial" w:eastAsia="宋体" w:cs="Arial"/>
                <w:bCs/>
                <w:kern w:val="2"/>
                <w:sz w:val="20"/>
                <w:szCs w:val="21"/>
                <w:lang w:val="en-US" w:eastAsia="zh-CN"/>
              </w:rPr>
              <w:t>Model transfer/delivery</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server-&gt;UE</w:t>
            </w:r>
            <w:r>
              <w:rPr>
                <w:rFonts w:hint="eastAsia" w:ascii="Arial" w:hAnsi="Arial" w:eastAsia="宋体" w:cs="Arial"/>
                <w:sz w:val="20"/>
                <w:szCs w:val="21"/>
                <w:lang w:val="en-US" w:eastAsia="zh-CN"/>
              </w:rPr>
              <w:t>, gNB-&gt;UE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c)</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hint="eastAsia" w:ascii="Arial" w:hAnsi="Arial" w:eastAsia="宋体" w:cs="Arial"/>
                <w:bCs/>
                <w:kern w:val="2"/>
                <w:sz w:val="20"/>
                <w:szCs w:val="21"/>
                <w:lang w:val="en-US" w:eastAsia="zh-CN"/>
              </w:rPr>
              <w:t>I</w:t>
            </w:r>
            <w:r>
              <w:rPr>
                <w:rFonts w:ascii="Arial" w:hAnsi="Arial" w:eastAsia="宋体" w:cs="Arial"/>
                <w:bCs/>
                <w:kern w:val="2"/>
                <w:sz w:val="20"/>
                <w:szCs w:val="21"/>
                <w:lang w:val="en-US" w:eastAsia="zh-CN"/>
              </w:rPr>
              <w:t>nference</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d)</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sz w:val="20"/>
                <w:szCs w:val="21"/>
                <w:lang w:val="en-US" w:eastAsia="zh-CN"/>
              </w:rPr>
            </w:pPr>
            <w:r>
              <w:rPr>
                <w:rFonts w:hint="eastAsia" w:ascii="Arial" w:hAnsi="Arial" w:eastAsia="宋体" w:cs="Arial"/>
                <w:bCs/>
                <w:sz w:val="20"/>
                <w:szCs w:val="21"/>
                <w:lang w:val="en-US" w:eastAsia="zh-CN"/>
              </w:rPr>
              <w:t>Performance monitoring</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monitoring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r>
              <w:rPr>
                <w:rFonts w:hint="eastAsia" w:ascii="Arial" w:hAnsi="Arial" w:eastAsia="宋体" w:cs="Arial"/>
                <w:kern w:val="2"/>
                <w:sz w:val="20"/>
                <w:szCs w:val="21"/>
                <w:lang w:val="en-US" w:eastAsia="zh-CN"/>
              </w:rPr>
              <w:t xml:space="preserve"> (UE monitors the performance, and reports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 monitoring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e)</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w:t>
            </w:r>
            <w:r>
              <w:rPr>
                <w:rFonts w:ascii="Arial" w:hAnsi="Arial" w:eastAsia="宋体" w:cs="Arial"/>
                <w:bCs/>
                <w:kern w:val="2"/>
                <w:sz w:val="20"/>
                <w:szCs w:val="21"/>
                <w:lang w:val="en-US" w:eastAsia="zh-CN"/>
              </w:rPr>
              <w:t>functionality control</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Model </w:t>
            </w:r>
            <w:r>
              <w:rPr>
                <w:rFonts w:ascii="Arial" w:hAnsi="Arial" w:eastAsia="宋体" w:cs="Arial"/>
                <w:bCs/>
                <w:kern w:val="2"/>
                <w:sz w:val="20"/>
                <w:szCs w:val="21"/>
                <w:lang w:val="en-US" w:eastAsia="zh-CN"/>
              </w:rPr>
              <w:t>selection, (de)activation, switching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selection, (de)activation, switching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Functionality fallback</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gNB</w:t>
            </w:r>
          </w:p>
        </w:tc>
      </w:tr>
    </w:tbl>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Note 1: F</w:t>
      </w:r>
      <w:r>
        <w:rPr>
          <w:rFonts w:ascii="Arial" w:hAnsi="Arial" w:eastAsia="宋体" w:cs="Arial"/>
          <w:sz w:val="20"/>
          <w:szCs w:val="21"/>
          <w:lang w:val="en-US" w:eastAsia="zh-CN"/>
        </w:rPr>
        <w:t>or a)</w:t>
      </w:r>
      <w:r>
        <w:rPr>
          <w:rFonts w:hint="eastAsia" w:ascii="Arial" w:hAnsi="Arial" w:eastAsia="宋体" w:cs="Arial"/>
          <w:sz w:val="20"/>
          <w:szCs w:val="21"/>
          <w:lang w:val="en-US" w:eastAsia="zh-CN"/>
        </w:rPr>
        <w:t>,</w:t>
      </w:r>
      <w:r>
        <w:rPr>
          <w:rFonts w:ascii="Arial" w:hAnsi="Arial" w:eastAsia="宋体" w:cs="Arial"/>
          <w:sz w:val="20"/>
          <w:szCs w:val="21"/>
          <w:lang w:val="en-US" w:eastAsia="zh-CN"/>
        </w:rPr>
        <w:t xml:space="preserve"> only data collection part may be further discussed</w:t>
      </w:r>
      <w:r>
        <w:rPr>
          <w:rFonts w:hint="eastAsia" w:ascii="Arial" w:hAnsi="Arial" w:eastAsia="宋体" w:cs="Arial"/>
          <w:sz w:val="20"/>
          <w:szCs w:val="21"/>
          <w:lang w:val="en-US" w:eastAsia="zh-CN"/>
        </w:rPr>
        <w:t>, how to perform the model training is up to implementation</w:t>
      </w:r>
      <w:r>
        <w:rPr>
          <w:rFonts w:ascii="Arial" w:hAnsi="Arial" w:eastAsia="宋体" w:cs="Arial"/>
          <w:sz w:val="20"/>
          <w:szCs w:val="21"/>
          <w:lang w:val="en-US" w:eastAsia="zh-CN"/>
        </w:rPr>
        <w:t>.</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eastAsia" w:ascii="Arial" w:hAnsi="Arial" w:eastAsia="宋体" w:cs="Arial"/>
          <w:b/>
          <w:bCs/>
          <w:kern w:val="0"/>
          <w:sz w:val="20"/>
          <w:szCs w:val="20"/>
          <w:lang w:val="en-US" w:eastAsia="zh-CN"/>
        </w:rPr>
      </w:pPr>
      <w:r>
        <w:rPr>
          <w:rFonts w:hint="eastAsia" w:ascii="Arial" w:hAnsi="Arial" w:eastAsia="宋体" w:cs="Arial"/>
          <w:sz w:val="20"/>
          <w:szCs w:val="21"/>
          <w:lang w:val="en-US" w:eastAsia="zh-CN"/>
        </w:rPr>
        <w:t>Note 2: For b), no model transfer/delivery is expected if the entity for model training and model inference is the same one.</w:t>
      </w:r>
    </w:p>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2</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2</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lang w:val="en-US" w:eastAsia="zh-CN"/>
        </w:rPr>
        <w:t>R2-2305327 Discussion on architecture general vivo</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lang w:val="en-US" w:eastAsia="zh-CN"/>
        </w:rPr>
        <w:t>R2-2308912 R2 input to TR 38.843 Ericsson</w:t>
      </w:r>
    </w:p>
    <w:p>
      <w:pPr>
        <w:widowControl/>
        <w:numPr>
          <w:ilvl w:val="0"/>
          <w:numId w:val="11"/>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R2-2308913 </w:t>
      </w:r>
      <w:r>
        <w:rPr>
          <w:rFonts w:hint="eastAsia" w:ascii="Arial" w:hAnsi="Arial" w:eastAsia="宋体" w:cs="Arial"/>
          <w:kern w:val="0"/>
          <w:sz w:val="20"/>
          <w:szCs w:val="20"/>
          <w:lang w:val="en-GB" w:eastAsia="en-US"/>
        </w:rPr>
        <w:t>[Post122][059][AIML]</w:t>
      </w: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val="en-GB" w:eastAsia="en-US"/>
        </w:rPr>
        <w:t xml:space="preserve"> on functional framework, topics to discuss, and FFSs</w:t>
      </w:r>
      <w:r>
        <w:rPr>
          <w:rFonts w:hint="eastAsia" w:ascii="Arial" w:hAnsi="Arial" w:eastAsia="宋体" w:cs="Arial"/>
          <w:kern w:val="0"/>
          <w:sz w:val="20"/>
          <w:szCs w:val="20"/>
          <w:lang w:val="en-GB" w:eastAsia="en-US"/>
        </w:rPr>
        <w:tab/>
      </w:r>
      <w:r>
        <w:rPr>
          <w:rFonts w:hint="eastAsia" w:ascii="Arial" w:hAnsi="Arial" w:eastAsia="宋体" w:cs="Arial"/>
          <w:kern w:val="0"/>
          <w:sz w:val="20"/>
          <w:szCs w:val="20"/>
          <w:lang w:val="en-GB" w:eastAsia="en-US"/>
        </w:rPr>
        <w:t>Ericsson</w:t>
      </w:r>
    </w:p>
    <w:p>
      <w:pPr>
        <w:widowControl/>
        <w:numPr>
          <w:ilvl w:val="0"/>
          <w:numId w:val="11"/>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R2-2308286 Report of [Post122][060][AIML] Mapping of functions to physical entities (CMCC)</w:t>
      </w:r>
    </w:p>
    <w:p>
      <w:pPr>
        <w:widowControl/>
        <w:numPr>
          <w:ilvl w:val="0"/>
          <w:numId w:val="11"/>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R2-2309435 Reply LS on Data Collection Requirements and Assumptions (R1-2308730; contact: Qualcomm)</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E04CA"/>
    <w:multiLevelType w:val="multilevel"/>
    <w:tmpl w:val="00CE04CA"/>
    <w:lvl w:ilvl="0" w:tentative="0">
      <w:start w:val="4"/>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F44499"/>
    <w:multiLevelType w:val="multilevel"/>
    <w:tmpl w:val="28F444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4A816C6D"/>
    <w:multiLevelType w:val="multilevel"/>
    <w:tmpl w:val="4A816C6D"/>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0BED944"/>
    <w:multiLevelType w:val="singleLevel"/>
    <w:tmpl w:val="50BED944"/>
    <w:lvl w:ilvl="0" w:tentative="0">
      <w:start w:val="1"/>
      <w:numFmt w:val="decimal"/>
      <w:lvlText w:val="%1"/>
      <w:lvlJc w:val="left"/>
    </w:lvl>
  </w:abstractNum>
  <w:abstractNum w:abstractNumId="9">
    <w:nsid w:val="70146DC0"/>
    <w:multiLevelType w:val="multilevel"/>
    <w:tmpl w:val="70146DC0"/>
    <w:lvl w:ilvl="0" w:tentative="0">
      <w:start w:val="1"/>
      <w:numFmt w:val="bullet"/>
      <w:pStyle w:val="3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18D7D2E"/>
    <w:multiLevelType w:val="multilevel"/>
    <w:tmpl w:val="718D7D2E"/>
    <w:lvl w:ilvl="0" w:tentative="0">
      <w:start w:val="1"/>
      <w:numFmt w:val="decimal"/>
      <w:pStyle w:val="28"/>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
  </w:num>
  <w:num w:numId="3">
    <w:abstractNumId w:val="10"/>
  </w:num>
  <w:num w:numId="4">
    <w:abstractNumId w:val="9"/>
  </w:num>
  <w:num w:numId="5">
    <w:abstractNumId w:val="8"/>
  </w:num>
  <w:num w:numId="6">
    <w:abstractNumId w:val="4"/>
  </w:num>
  <w:num w:numId="7">
    <w:abstractNumId w:val="0"/>
  </w:num>
  <w:num w:numId="8">
    <w:abstractNumId w:val="3"/>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309D2"/>
    <w:rsid w:val="00E513DD"/>
    <w:rsid w:val="00E82408"/>
    <w:rsid w:val="00ED765C"/>
    <w:rsid w:val="00EF5EE1"/>
    <w:rsid w:val="00F02DFE"/>
    <w:rsid w:val="00F05AB0"/>
    <w:rsid w:val="00F0760F"/>
    <w:rsid w:val="00F33D13"/>
    <w:rsid w:val="00F47D8B"/>
    <w:rsid w:val="00F627D0"/>
    <w:rsid w:val="00F841B6"/>
    <w:rsid w:val="00F92EA1"/>
    <w:rsid w:val="01041DE1"/>
    <w:rsid w:val="01A574CF"/>
    <w:rsid w:val="01AC6796"/>
    <w:rsid w:val="01E966BF"/>
    <w:rsid w:val="028C37F4"/>
    <w:rsid w:val="029B08C6"/>
    <w:rsid w:val="02AA304B"/>
    <w:rsid w:val="02B03E6E"/>
    <w:rsid w:val="02FA6D08"/>
    <w:rsid w:val="030E32B0"/>
    <w:rsid w:val="031A0F54"/>
    <w:rsid w:val="038A1F16"/>
    <w:rsid w:val="03B81177"/>
    <w:rsid w:val="03BF31FD"/>
    <w:rsid w:val="041A101A"/>
    <w:rsid w:val="04961BFE"/>
    <w:rsid w:val="04A12BB9"/>
    <w:rsid w:val="04A37BF0"/>
    <w:rsid w:val="04FD5053"/>
    <w:rsid w:val="053900B6"/>
    <w:rsid w:val="054134AD"/>
    <w:rsid w:val="05461D54"/>
    <w:rsid w:val="05B81468"/>
    <w:rsid w:val="05CB17B7"/>
    <w:rsid w:val="061355E6"/>
    <w:rsid w:val="069766D8"/>
    <w:rsid w:val="06EB297F"/>
    <w:rsid w:val="06F44776"/>
    <w:rsid w:val="071830B3"/>
    <w:rsid w:val="072E12A5"/>
    <w:rsid w:val="072E4FA9"/>
    <w:rsid w:val="07554650"/>
    <w:rsid w:val="07CC0B7F"/>
    <w:rsid w:val="07EE43DF"/>
    <w:rsid w:val="08241B14"/>
    <w:rsid w:val="08346E32"/>
    <w:rsid w:val="08AB7AD1"/>
    <w:rsid w:val="08BD2F14"/>
    <w:rsid w:val="093223D0"/>
    <w:rsid w:val="09414F75"/>
    <w:rsid w:val="094470AB"/>
    <w:rsid w:val="09583CAB"/>
    <w:rsid w:val="095A6DFD"/>
    <w:rsid w:val="09926330"/>
    <w:rsid w:val="09B92009"/>
    <w:rsid w:val="09D63199"/>
    <w:rsid w:val="09F124DC"/>
    <w:rsid w:val="0A0B3AD2"/>
    <w:rsid w:val="0A103B20"/>
    <w:rsid w:val="0A1469F1"/>
    <w:rsid w:val="0A173D8A"/>
    <w:rsid w:val="0A8C4F92"/>
    <w:rsid w:val="0AB622D1"/>
    <w:rsid w:val="0AE21792"/>
    <w:rsid w:val="0B11078A"/>
    <w:rsid w:val="0B5E23C0"/>
    <w:rsid w:val="0B6B4131"/>
    <w:rsid w:val="0B7E67EB"/>
    <w:rsid w:val="0BB81E48"/>
    <w:rsid w:val="0BF16E09"/>
    <w:rsid w:val="0BF550E1"/>
    <w:rsid w:val="0C202296"/>
    <w:rsid w:val="0C415301"/>
    <w:rsid w:val="0C4853AF"/>
    <w:rsid w:val="0C5466CF"/>
    <w:rsid w:val="0C7F3E15"/>
    <w:rsid w:val="0CC05689"/>
    <w:rsid w:val="0CD5224C"/>
    <w:rsid w:val="0CE47224"/>
    <w:rsid w:val="0D362C45"/>
    <w:rsid w:val="0D61316C"/>
    <w:rsid w:val="0D711EBE"/>
    <w:rsid w:val="0D771EA7"/>
    <w:rsid w:val="0DA728AC"/>
    <w:rsid w:val="0DAD175B"/>
    <w:rsid w:val="0E3708D9"/>
    <w:rsid w:val="0E3D4FDF"/>
    <w:rsid w:val="0E4A09D7"/>
    <w:rsid w:val="0E6E3C34"/>
    <w:rsid w:val="0F1D748A"/>
    <w:rsid w:val="0F4E079B"/>
    <w:rsid w:val="0F782620"/>
    <w:rsid w:val="0F8A7784"/>
    <w:rsid w:val="0FA523B9"/>
    <w:rsid w:val="100F311E"/>
    <w:rsid w:val="101B6D4A"/>
    <w:rsid w:val="108B22CD"/>
    <w:rsid w:val="10C31C47"/>
    <w:rsid w:val="10C64AE7"/>
    <w:rsid w:val="10F04644"/>
    <w:rsid w:val="110171B2"/>
    <w:rsid w:val="119B1CE5"/>
    <w:rsid w:val="11D44799"/>
    <w:rsid w:val="123900DB"/>
    <w:rsid w:val="123B6254"/>
    <w:rsid w:val="1240387E"/>
    <w:rsid w:val="12A73823"/>
    <w:rsid w:val="12A771A7"/>
    <w:rsid w:val="12B04029"/>
    <w:rsid w:val="12F70A8D"/>
    <w:rsid w:val="130A48C3"/>
    <w:rsid w:val="132303DD"/>
    <w:rsid w:val="1331496D"/>
    <w:rsid w:val="13392934"/>
    <w:rsid w:val="13583AE1"/>
    <w:rsid w:val="1358580E"/>
    <w:rsid w:val="139327D8"/>
    <w:rsid w:val="13A46671"/>
    <w:rsid w:val="14160D76"/>
    <w:rsid w:val="14256000"/>
    <w:rsid w:val="1466786F"/>
    <w:rsid w:val="14AA6043"/>
    <w:rsid w:val="14CD31AF"/>
    <w:rsid w:val="14E836E8"/>
    <w:rsid w:val="14F142C3"/>
    <w:rsid w:val="152B1104"/>
    <w:rsid w:val="15506DE8"/>
    <w:rsid w:val="158640D7"/>
    <w:rsid w:val="15BE553B"/>
    <w:rsid w:val="161147C5"/>
    <w:rsid w:val="16327956"/>
    <w:rsid w:val="16725680"/>
    <w:rsid w:val="16A3322F"/>
    <w:rsid w:val="16C120B7"/>
    <w:rsid w:val="16D51B5B"/>
    <w:rsid w:val="17321307"/>
    <w:rsid w:val="1745083A"/>
    <w:rsid w:val="179F3A97"/>
    <w:rsid w:val="17AE49E6"/>
    <w:rsid w:val="17CD5A7B"/>
    <w:rsid w:val="18035F6A"/>
    <w:rsid w:val="1843750D"/>
    <w:rsid w:val="186366A3"/>
    <w:rsid w:val="1878091F"/>
    <w:rsid w:val="187A66B9"/>
    <w:rsid w:val="1881324F"/>
    <w:rsid w:val="18CE622A"/>
    <w:rsid w:val="195E3B99"/>
    <w:rsid w:val="19874F49"/>
    <w:rsid w:val="1A4E73C9"/>
    <w:rsid w:val="1A9A126F"/>
    <w:rsid w:val="1AA4601E"/>
    <w:rsid w:val="1ABF7C53"/>
    <w:rsid w:val="1ADE6206"/>
    <w:rsid w:val="1AF95D42"/>
    <w:rsid w:val="1BB22919"/>
    <w:rsid w:val="1C263D41"/>
    <w:rsid w:val="1C6673DB"/>
    <w:rsid w:val="1CC529AF"/>
    <w:rsid w:val="1D031FA5"/>
    <w:rsid w:val="1D700D25"/>
    <w:rsid w:val="1DE55E1B"/>
    <w:rsid w:val="1DEA2636"/>
    <w:rsid w:val="1E1B3D79"/>
    <w:rsid w:val="1E261FEC"/>
    <w:rsid w:val="1E5D014C"/>
    <w:rsid w:val="1E60149D"/>
    <w:rsid w:val="1E625159"/>
    <w:rsid w:val="1E6C052F"/>
    <w:rsid w:val="1EB31B66"/>
    <w:rsid w:val="1EB529F8"/>
    <w:rsid w:val="1EBE0819"/>
    <w:rsid w:val="1EF17AB3"/>
    <w:rsid w:val="1F1F4D17"/>
    <w:rsid w:val="1F7F6C84"/>
    <w:rsid w:val="1FBC2999"/>
    <w:rsid w:val="1FE63CE8"/>
    <w:rsid w:val="20247C3C"/>
    <w:rsid w:val="205E7BE3"/>
    <w:rsid w:val="20687543"/>
    <w:rsid w:val="208A18F1"/>
    <w:rsid w:val="208D63E6"/>
    <w:rsid w:val="209173AA"/>
    <w:rsid w:val="20A506BA"/>
    <w:rsid w:val="20F63843"/>
    <w:rsid w:val="20FC7B94"/>
    <w:rsid w:val="215A766D"/>
    <w:rsid w:val="217947C6"/>
    <w:rsid w:val="220A4513"/>
    <w:rsid w:val="22B32E1B"/>
    <w:rsid w:val="22CD6AE0"/>
    <w:rsid w:val="236906A5"/>
    <w:rsid w:val="2375481A"/>
    <w:rsid w:val="23822B30"/>
    <w:rsid w:val="23EE120B"/>
    <w:rsid w:val="2403705B"/>
    <w:rsid w:val="242169C1"/>
    <w:rsid w:val="247D7C61"/>
    <w:rsid w:val="24997A50"/>
    <w:rsid w:val="249D5D77"/>
    <w:rsid w:val="24B445FB"/>
    <w:rsid w:val="24C74F14"/>
    <w:rsid w:val="24D708E2"/>
    <w:rsid w:val="251B6F7E"/>
    <w:rsid w:val="252515BC"/>
    <w:rsid w:val="25765C2D"/>
    <w:rsid w:val="259D2BC3"/>
    <w:rsid w:val="25E42581"/>
    <w:rsid w:val="25F5013E"/>
    <w:rsid w:val="262A1C6D"/>
    <w:rsid w:val="26315BFD"/>
    <w:rsid w:val="265064E5"/>
    <w:rsid w:val="267C008C"/>
    <w:rsid w:val="26A276B5"/>
    <w:rsid w:val="26BA68C7"/>
    <w:rsid w:val="26FE792B"/>
    <w:rsid w:val="271D63E4"/>
    <w:rsid w:val="27BE3E87"/>
    <w:rsid w:val="27C35275"/>
    <w:rsid w:val="27CE0EF8"/>
    <w:rsid w:val="283167B4"/>
    <w:rsid w:val="28682A73"/>
    <w:rsid w:val="286D5EF0"/>
    <w:rsid w:val="28C249AD"/>
    <w:rsid w:val="28CD1B01"/>
    <w:rsid w:val="28E404D9"/>
    <w:rsid w:val="291138C7"/>
    <w:rsid w:val="29B22A93"/>
    <w:rsid w:val="29BE37C1"/>
    <w:rsid w:val="2A326ADA"/>
    <w:rsid w:val="2A7D74CC"/>
    <w:rsid w:val="2B086248"/>
    <w:rsid w:val="2B3F4C1F"/>
    <w:rsid w:val="2B4D1216"/>
    <w:rsid w:val="2B58393A"/>
    <w:rsid w:val="2BBC30CD"/>
    <w:rsid w:val="2BD61550"/>
    <w:rsid w:val="2BE06712"/>
    <w:rsid w:val="2C095760"/>
    <w:rsid w:val="2C503941"/>
    <w:rsid w:val="2C6E581C"/>
    <w:rsid w:val="2CA429E2"/>
    <w:rsid w:val="2D146D2C"/>
    <w:rsid w:val="2D3B7B03"/>
    <w:rsid w:val="2D440581"/>
    <w:rsid w:val="2D470656"/>
    <w:rsid w:val="2D493ADC"/>
    <w:rsid w:val="2D55451C"/>
    <w:rsid w:val="2D5B158F"/>
    <w:rsid w:val="2DFB6036"/>
    <w:rsid w:val="2E670FB8"/>
    <w:rsid w:val="2E9034FC"/>
    <w:rsid w:val="2EB103B1"/>
    <w:rsid w:val="2F383A5C"/>
    <w:rsid w:val="2FA818EE"/>
    <w:rsid w:val="2FBE43F5"/>
    <w:rsid w:val="2FC53C32"/>
    <w:rsid w:val="2FD157C7"/>
    <w:rsid w:val="300A115E"/>
    <w:rsid w:val="309D4655"/>
    <w:rsid w:val="30D74EC9"/>
    <w:rsid w:val="317503B0"/>
    <w:rsid w:val="31D53C4D"/>
    <w:rsid w:val="31F71A11"/>
    <w:rsid w:val="31FE12AB"/>
    <w:rsid w:val="32253D2B"/>
    <w:rsid w:val="32513A45"/>
    <w:rsid w:val="32C84DFE"/>
    <w:rsid w:val="32D35558"/>
    <w:rsid w:val="32DA35B8"/>
    <w:rsid w:val="3337740D"/>
    <w:rsid w:val="33805DA1"/>
    <w:rsid w:val="33934B2E"/>
    <w:rsid w:val="33C37075"/>
    <w:rsid w:val="34017CDC"/>
    <w:rsid w:val="34B443F6"/>
    <w:rsid w:val="34EC41DF"/>
    <w:rsid w:val="35040A33"/>
    <w:rsid w:val="351A24AD"/>
    <w:rsid w:val="352F7485"/>
    <w:rsid w:val="354E123E"/>
    <w:rsid w:val="354F2AD2"/>
    <w:rsid w:val="35C60438"/>
    <w:rsid w:val="360D6591"/>
    <w:rsid w:val="361F2C5E"/>
    <w:rsid w:val="363976F7"/>
    <w:rsid w:val="36592621"/>
    <w:rsid w:val="366E68DA"/>
    <w:rsid w:val="36B042B6"/>
    <w:rsid w:val="36B941C1"/>
    <w:rsid w:val="36E02E58"/>
    <w:rsid w:val="36F10E36"/>
    <w:rsid w:val="36F84B57"/>
    <w:rsid w:val="3751494E"/>
    <w:rsid w:val="37757EA8"/>
    <w:rsid w:val="37C00FC8"/>
    <w:rsid w:val="37D62F7A"/>
    <w:rsid w:val="3801173C"/>
    <w:rsid w:val="38060F79"/>
    <w:rsid w:val="38733B2C"/>
    <w:rsid w:val="38761BD7"/>
    <w:rsid w:val="38AE69D5"/>
    <w:rsid w:val="38FC32F5"/>
    <w:rsid w:val="39030A9D"/>
    <w:rsid w:val="396866FD"/>
    <w:rsid w:val="397E03C2"/>
    <w:rsid w:val="39DF043A"/>
    <w:rsid w:val="3A070DC0"/>
    <w:rsid w:val="3A0F5676"/>
    <w:rsid w:val="3A2065C7"/>
    <w:rsid w:val="3A34378D"/>
    <w:rsid w:val="3A36160B"/>
    <w:rsid w:val="3AFB6043"/>
    <w:rsid w:val="3B5C6A72"/>
    <w:rsid w:val="3B7F2CAA"/>
    <w:rsid w:val="3C1A13DF"/>
    <w:rsid w:val="3CA66A58"/>
    <w:rsid w:val="3CB2163E"/>
    <w:rsid w:val="3CBE3C7C"/>
    <w:rsid w:val="3CF316DB"/>
    <w:rsid w:val="3D5B3EF0"/>
    <w:rsid w:val="3D5C58DF"/>
    <w:rsid w:val="3DB23DD9"/>
    <w:rsid w:val="3E500D27"/>
    <w:rsid w:val="3E504D3E"/>
    <w:rsid w:val="3E573ADE"/>
    <w:rsid w:val="3E6670B2"/>
    <w:rsid w:val="3EA55E90"/>
    <w:rsid w:val="3ECD0998"/>
    <w:rsid w:val="3ED508CA"/>
    <w:rsid w:val="3F1B7587"/>
    <w:rsid w:val="3F88480C"/>
    <w:rsid w:val="3FA42170"/>
    <w:rsid w:val="3FAF36DB"/>
    <w:rsid w:val="3FB452E6"/>
    <w:rsid w:val="405759DA"/>
    <w:rsid w:val="40623B06"/>
    <w:rsid w:val="406A14B3"/>
    <w:rsid w:val="407C15D8"/>
    <w:rsid w:val="411601C3"/>
    <w:rsid w:val="41171B69"/>
    <w:rsid w:val="4127482E"/>
    <w:rsid w:val="41883A8E"/>
    <w:rsid w:val="418A60B4"/>
    <w:rsid w:val="41B370D6"/>
    <w:rsid w:val="42212582"/>
    <w:rsid w:val="42755843"/>
    <w:rsid w:val="42BB205C"/>
    <w:rsid w:val="42C70708"/>
    <w:rsid w:val="42F40D67"/>
    <w:rsid w:val="42F6425B"/>
    <w:rsid w:val="43146FF6"/>
    <w:rsid w:val="433204F8"/>
    <w:rsid w:val="433C3AAA"/>
    <w:rsid w:val="434800B5"/>
    <w:rsid w:val="437C1E5D"/>
    <w:rsid w:val="437F4ACF"/>
    <w:rsid w:val="43964A1C"/>
    <w:rsid w:val="43C879EE"/>
    <w:rsid w:val="449765BF"/>
    <w:rsid w:val="44B41FCD"/>
    <w:rsid w:val="44F46625"/>
    <w:rsid w:val="454C191C"/>
    <w:rsid w:val="4599227F"/>
    <w:rsid w:val="45A73923"/>
    <w:rsid w:val="45BE024B"/>
    <w:rsid w:val="45BE2AD4"/>
    <w:rsid w:val="45C2437E"/>
    <w:rsid w:val="45EA2721"/>
    <w:rsid w:val="46300B95"/>
    <w:rsid w:val="466F101E"/>
    <w:rsid w:val="4699240B"/>
    <w:rsid w:val="46AD6DF1"/>
    <w:rsid w:val="46FE4C6E"/>
    <w:rsid w:val="475A659D"/>
    <w:rsid w:val="476207DA"/>
    <w:rsid w:val="47944B93"/>
    <w:rsid w:val="47C04462"/>
    <w:rsid w:val="47C96CD1"/>
    <w:rsid w:val="47D84F8A"/>
    <w:rsid w:val="47DB6ABB"/>
    <w:rsid w:val="48083448"/>
    <w:rsid w:val="487969FF"/>
    <w:rsid w:val="4917331D"/>
    <w:rsid w:val="492C2716"/>
    <w:rsid w:val="492E569F"/>
    <w:rsid w:val="4949602E"/>
    <w:rsid w:val="494B446A"/>
    <w:rsid w:val="494E1C27"/>
    <w:rsid w:val="49A21436"/>
    <w:rsid w:val="49A36AB0"/>
    <w:rsid w:val="49A97E85"/>
    <w:rsid w:val="49D92DDD"/>
    <w:rsid w:val="4A444508"/>
    <w:rsid w:val="4A456A14"/>
    <w:rsid w:val="4A66451F"/>
    <w:rsid w:val="4AAB056F"/>
    <w:rsid w:val="4BC53B5B"/>
    <w:rsid w:val="4C2C5737"/>
    <w:rsid w:val="4C340FD6"/>
    <w:rsid w:val="4C500112"/>
    <w:rsid w:val="4C964045"/>
    <w:rsid w:val="4CB044DC"/>
    <w:rsid w:val="4CBE2BFA"/>
    <w:rsid w:val="4D010671"/>
    <w:rsid w:val="4D33244B"/>
    <w:rsid w:val="4D743D8A"/>
    <w:rsid w:val="4DD04E9D"/>
    <w:rsid w:val="4E2452B7"/>
    <w:rsid w:val="4E30585B"/>
    <w:rsid w:val="4E695109"/>
    <w:rsid w:val="4E9D6524"/>
    <w:rsid w:val="4EAD1AF9"/>
    <w:rsid w:val="4EE23C1E"/>
    <w:rsid w:val="4F1913AC"/>
    <w:rsid w:val="4F6426A9"/>
    <w:rsid w:val="4F7A31F5"/>
    <w:rsid w:val="4F8A4209"/>
    <w:rsid w:val="4FB92CDA"/>
    <w:rsid w:val="4FE775A6"/>
    <w:rsid w:val="4FF54231"/>
    <w:rsid w:val="50077447"/>
    <w:rsid w:val="50652E94"/>
    <w:rsid w:val="50793188"/>
    <w:rsid w:val="51091597"/>
    <w:rsid w:val="51A823AB"/>
    <w:rsid w:val="51CC648B"/>
    <w:rsid w:val="52065DA2"/>
    <w:rsid w:val="522E4D5D"/>
    <w:rsid w:val="52642695"/>
    <w:rsid w:val="528B1069"/>
    <w:rsid w:val="52930D7F"/>
    <w:rsid w:val="52AF0C37"/>
    <w:rsid w:val="53137AC4"/>
    <w:rsid w:val="5331200C"/>
    <w:rsid w:val="53D170F4"/>
    <w:rsid w:val="53DA50FB"/>
    <w:rsid w:val="54606A92"/>
    <w:rsid w:val="55846FDD"/>
    <w:rsid w:val="560143A9"/>
    <w:rsid w:val="562365CA"/>
    <w:rsid w:val="56266269"/>
    <w:rsid w:val="56340430"/>
    <w:rsid w:val="56581D59"/>
    <w:rsid w:val="56A7525D"/>
    <w:rsid w:val="56B0773B"/>
    <w:rsid w:val="57041F50"/>
    <w:rsid w:val="57792910"/>
    <w:rsid w:val="5781180D"/>
    <w:rsid w:val="57C77D46"/>
    <w:rsid w:val="57CF4F1B"/>
    <w:rsid w:val="58201757"/>
    <w:rsid w:val="58602168"/>
    <w:rsid w:val="58AB4E89"/>
    <w:rsid w:val="58AD7356"/>
    <w:rsid w:val="58B5550E"/>
    <w:rsid w:val="58C11261"/>
    <w:rsid w:val="58D20175"/>
    <w:rsid w:val="58DF02DF"/>
    <w:rsid w:val="593F0ECC"/>
    <w:rsid w:val="597B64D7"/>
    <w:rsid w:val="599A5E0E"/>
    <w:rsid w:val="59AD7B0E"/>
    <w:rsid w:val="59C23070"/>
    <w:rsid w:val="59D55070"/>
    <w:rsid w:val="59FD6E5D"/>
    <w:rsid w:val="5A2F5AF5"/>
    <w:rsid w:val="5A3329D4"/>
    <w:rsid w:val="5A51315F"/>
    <w:rsid w:val="5A8D1386"/>
    <w:rsid w:val="5ABB6C3C"/>
    <w:rsid w:val="5ABD4E5D"/>
    <w:rsid w:val="5AFF7905"/>
    <w:rsid w:val="5B1836AE"/>
    <w:rsid w:val="5B492C91"/>
    <w:rsid w:val="5B6B15AA"/>
    <w:rsid w:val="5BF25754"/>
    <w:rsid w:val="5C1E13B0"/>
    <w:rsid w:val="5C4C4AD1"/>
    <w:rsid w:val="5C662A50"/>
    <w:rsid w:val="5CEA2522"/>
    <w:rsid w:val="5CF2777D"/>
    <w:rsid w:val="5D2708E3"/>
    <w:rsid w:val="5D664D05"/>
    <w:rsid w:val="5D7C584C"/>
    <w:rsid w:val="5D7F0635"/>
    <w:rsid w:val="5D894E7F"/>
    <w:rsid w:val="5D8C2DD2"/>
    <w:rsid w:val="5D8D080D"/>
    <w:rsid w:val="5DBF6493"/>
    <w:rsid w:val="5E3E4C2D"/>
    <w:rsid w:val="5E5867E1"/>
    <w:rsid w:val="5E872AA3"/>
    <w:rsid w:val="5E874CE8"/>
    <w:rsid w:val="5E9327A6"/>
    <w:rsid w:val="5EB00E5C"/>
    <w:rsid w:val="5EB20079"/>
    <w:rsid w:val="5EBB4DE8"/>
    <w:rsid w:val="5ED35331"/>
    <w:rsid w:val="5EE37831"/>
    <w:rsid w:val="5F213F68"/>
    <w:rsid w:val="5F2F6349"/>
    <w:rsid w:val="5F3816A2"/>
    <w:rsid w:val="5F600D4E"/>
    <w:rsid w:val="5F956DDF"/>
    <w:rsid w:val="5FA416F1"/>
    <w:rsid w:val="5FDC55D3"/>
    <w:rsid w:val="5FF469EE"/>
    <w:rsid w:val="5FFB0094"/>
    <w:rsid w:val="60160416"/>
    <w:rsid w:val="60C03CCF"/>
    <w:rsid w:val="60C864A2"/>
    <w:rsid w:val="60E62C9D"/>
    <w:rsid w:val="61A06374"/>
    <w:rsid w:val="61FA53C7"/>
    <w:rsid w:val="620B6CB1"/>
    <w:rsid w:val="622470A5"/>
    <w:rsid w:val="62857C4E"/>
    <w:rsid w:val="6286607D"/>
    <w:rsid w:val="629E56AD"/>
    <w:rsid w:val="634B0772"/>
    <w:rsid w:val="636E7A2E"/>
    <w:rsid w:val="63C01CBD"/>
    <w:rsid w:val="64187854"/>
    <w:rsid w:val="643F3D04"/>
    <w:rsid w:val="644204E6"/>
    <w:rsid w:val="64635DFB"/>
    <w:rsid w:val="64646E18"/>
    <w:rsid w:val="647844F5"/>
    <w:rsid w:val="64AF3910"/>
    <w:rsid w:val="64BC2C9E"/>
    <w:rsid w:val="64C626B7"/>
    <w:rsid w:val="65912A7B"/>
    <w:rsid w:val="65F567E7"/>
    <w:rsid w:val="660E4242"/>
    <w:rsid w:val="662519F4"/>
    <w:rsid w:val="66354951"/>
    <w:rsid w:val="66BA2385"/>
    <w:rsid w:val="66DB09CF"/>
    <w:rsid w:val="66E96680"/>
    <w:rsid w:val="67237A0F"/>
    <w:rsid w:val="67487CFE"/>
    <w:rsid w:val="677038E2"/>
    <w:rsid w:val="677777A9"/>
    <w:rsid w:val="67B43783"/>
    <w:rsid w:val="67B92A72"/>
    <w:rsid w:val="67EF4E57"/>
    <w:rsid w:val="68233F9E"/>
    <w:rsid w:val="685E210F"/>
    <w:rsid w:val="687B3F16"/>
    <w:rsid w:val="689340A3"/>
    <w:rsid w:val="68DC73EC"/>
    <w:rsid w:val="69293200"/>
    <w:rsid w:val="694347AF"/>
    <w:rsid w:val="694F06EB"/>
    <w:rsid w:val="6963607F"/>
    <w:rsid w:val="69766916"/>
    <w:rsid w:val="699E4F9D"/>
    <w:rsid w:val="69B23B9D"/>
    <w:rsid w:val="69E82867"/>
    <w:rsid w:val="6A591743"/>
    <w:rsid w:val="6AA159CB"/>
    <w:rsid w:val="6AA26939"/>
    <w:rsid w:val="6AD50437"/>
    <w:rsid w:val="6AE4041A"/>
    <w:rsid w:val="6AEE57CB"/>
    <w:rsid w:val="6B9C69D2"/>
    <w:rsid w:val="6BB104FC"/>
    <w:rsid w:val="6BD126F0"/>
    <w:rsid w:val="6BE1773A"/>
    <w:rsid w:val="6BE35659"/>
    <w:rsid w:val="6C2B66F7"/>
    <w:rsid w:val="6C5B64F3"/>
    <w:rsid w:val="6CD73A65"/>
    <w:rsid w:val="6D05726A"/>
    <w:rsid w:val="6D3113B3"/>
    <w:rsid w:val="6D673555"/>
    <w:rsid w:val="6D717C1E"/>
    <w:rsid w:val="6DC267F1"/>
    <w:rsid w:val="6E032FC6"/>
    <w:rsid w:val="6E0563E0"/>
    <w:rsid w:val="6E083615"/>
    <w:rsid w:val="6E0C5E8E"/>
    <w:rsid w:val="6E0D26B4"/>
    <w:rsid w:val="6E360FB8"/>
    <w:rsid w:val="6E6F0BB4"/>
    <w:rsid w:val="6E8A31F2"/>
    <w:rsid w:val="6EB25B0B"/>
    <w:rsid w:val="6EB80BA0"/>
    <w:rsid w:val="6ED37D90"/>
    <w:rsid w:val="6F00046B"/>
    <w:rsid w:val="6F065AB6"/>
    <w:rsid w:val="6F3364F9"/>
    <w:rsid w:val="6F612830"/>
    <w:rsid w:val="6FD10B10"/>
    <w:rsid w:val="6FE61F22"/>
    <w:rsid w:val="70023F93"/>
    <w:rsid w:val="701D5187"/>
    <w:rsid w:val="70352925"/>
    <w:rsid w:val="703F06B2"/>
    <w:rsid w:val="70505871"/>
    <w:rsid w:val="706525CA"/>
    <w:rsid w:val="706B4405"/>
    <w:rsid w:val="70801B07"/>
    <w:rsid w:val="709A7A5C"/>
    <w:rsid w:val="70A1406F"/>
    <w:rsid w:val="70DD3DED"/>
    <w:rsid w:val="715B3C2A"/>
    <w:rsid w:val="718A172E"/>
    <w:rsid w:val="71994E64"/>
    <w:rsid w:val="71B56F54"/>
    <w:rsid w:val="71EE7FB9"/>
    <w:rsid w:val="72536FDC"/>
    <w:rsid w:val="727D75DF"/>
    <w:rsid w:val="72CF6549"/>
    <w:rsid w:val="72D36E77"/>
    <w:rsid w:val="72EF572A"/>
    <w:rsid w:val="72FB66FD"/>
    <w:rsid w:val="732872C5"/>
    <w:rsid w:val="73995BF3"/>
    <w:rsid w:val="73B920B2"/>
    <w:rsid w:val="73B97799"/>
    <w:rsid w:val="74412921"/>
    <w:rsid w:val="7475710D"/>
    <w:rsid w:val="747621BD"/>
    <w:rsid w:val="74B16EA9"/>
    <w:rsid w:val="74F93E92"/>
    <w:rsid w:val="750B356A"/>
    <w:rsid w:val="750C4DDC"/>
    <w:rsid w:val="756950CA"/>
    <w:rsid w:val="75922EAF"/>
    <w:rsid w:val="75AD28A1"/>
    <w:rsid w:val="75B239CA"/>
    <w:rsid w:val="760A7D9D"/>
    <w:rsid w:val="763E51CC"/>
    <w:rsid w:val="766026E6"/>
    <w:rsid w:val="76CE7275"/>
    <w:rsid w:val="76DB2792"/>
    <w:rsid w:val="76E4362B"/>
    <w:rsid w:val="770A1659"/>
    <w:rsid w:val="77114867"/>
    <w:rsid w:val="77123301"/>
    <w:rsid w:val="771F60E4"/>
    <w:rsid w:val="77415699"/>
    <w:rsid w:val="779E068E"/>
    <w:rsid w:val="78202360"/>
    <w:rsid w:val="78780EA8"/>
    <w:rsid w:val="78A06277"/>
    <w:rsid w:val="78C64F8E"/>
    <w:rsid w:val="791A1EB8"/>
    <w:rsid w:val="79A123DE"/>
    <w:rsid w:val="79A37A59"/>
    <w:rsid w:val="79C61A14"/>
    <w:rsid w:val="79D7423A"/>
    <w:rsid w:val="79D92D5E"/>
    <w:rsid w:val="7A067805"/>
    <w:rsid w:val="7AA408FA"/>
    <w:rsid w:val="7B123707"/>
    <w:rsid w:val="7B307625"/>
    <w:rsid w:val="7B761608"/>
    <w:rsid w:val="7B8332A3"/>
    <w:rsid w:val="7C105077"/>
    <w:rsid w:val="7C113D31"/>
    <w:rsid w:val="7C416F95"/>
    <w:rsid w:val="7C4E5B9F"/>
    <w:rsid w:val="7C580760"/>
    <w:rsid w:val="7C9C47E0"/>
    <w:rsid w:val="7C9E070C"/>
    <w:rsid w:val="7E2C19FD"/>
    <w:rsid w:val="7E4B1AB3"/>
    <w:rsid w:val="7E58216F"/>
    <w:rsid w:val="7E886BD8"/>
    <w:rsid w:val="7E922F1E"/>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7"/>
    <w:qFormat/>
    <w:uiPriority w:val="9"/>
    <w:pPr>
      <w:numPr>
        <w:ilvl w:val="3"/>
      </w:numPr>
      <w:outlineLvl w:val="3"/>
    </w:pPr>
    <w:rPr>
      <w:i/>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99"/>
    <w:pPr>
      <w:jc w:val="left"/>
    </w:pPr>
  </w:style>
  <w:style w:type="paragraph" w:styleId="7">
    <w:name w:val="Body Text"/>
    <w:basedOn w:val="1"/>
    <w:qFormat/>
    <w:uiPriority w:val="0"/>
    <w:pPr>
      <w:spacing w:after="120"/>
      <w:jc w:val="both"/>
    </w:p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568" w:hanging="284"/>
    </w:pPr>
  </w:style>
  <w:style w:type="paragraph" w:styleId="11">
    <w:name w:val="annotation subject"/>
    <w:basedOn w:val="6"/>
    <w:next w:val="6"/>
    <w:link w:val="26"/>
    <w:semiHidden/>
    <w:unhideWhenUsed/>
    <w:qFormat/>
    <w:uiPriority w:val="99"/>
    <w:rPr>
      <w:b/>
      <w:bCs/>
    </w:rPr>
  </w:style>
  <w:style w:type="table" w:styleId="13">
    <w:name w:val="Table Grid"/>
    <w:basedOn w:val="12"/>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0000FF"/>
      <w:u w:val="single"/>
    </w:rPr>
  </w:style>
  <w:style w:type="character" w:styleId="16">
    <w:name w:val="annotation reference"/>
    <w:basedOn w:val="14"/>
    <w:qFormat/>
    <w:uiPriority w:val="0"/>
    <w:rPr>
      <w:sz w:val="21"/>
      <w:szCs w:val="21"/>
    </w:rPr>
  </w:style>
  <w:style w:type="character" w:customStyle="1" w:styleId="17">
    <w:name w:val="页眉 字符"/>
    <w:basedOn w:val="14"/>
    <w:link w:val="9"/>
    <w:qFormat/>
    <w:uiPriority w:val="99"/>
    <w:rPr>
      <w:sz w:val="18"/>
      <w:szCs w:val="18"/>
    </w:rPr>
  </w:style>
  <w:style w:type="character" w:customStyle="1" w:styleId="18">
    <w:name w:val="页脚 字符"/>
    <w:basedOn w:val="14"/>
    <w:link w:val="8"/>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10"/>
    <w:qFormat/>
    <w:uiPriority w:val="0"/>
  </w:style>
  <w:style w:type="paragraph" w:customStyle="1" w:styleId="23">
    <w:name w:val="Doc-text2"/>
    <w:basedOn w:val="1"/>
    <w:qFormat/>
    <w:uiPriority w:val="0"/>
    <w:pPr>
      <w:tabs>
        <w:tab w:val="left" w:pos="1622"/>
      </w:tabs>
      <w:ind w:left="1622" w:hanging="363"/>
      <w:jc w:val="left"/>
    </w:pPr>
    <w:rPr>
      <w:rFonts w:eastAsia="MS Mincho"/>
      <w:szCs w:val="24"/>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5">
    <w:name w:val="批注文字 字符"/>
    <w:basedOn w:val="14"/>
    <w:link w:val="6"/>
    <w:qFormat/>
    <w:uiPriority w:val="99"/>
    <w:rPr>
      <w:kern w:val="2"/>
      <w:sz w:val="21"/>
      <w:szCs w:val="22"/>
    </w:rPr>
  </w:style>
  <w:style w:type="character" w:customStyle="1" w:styleId="26">
    <w:name w:val="批注主题 字符"/>
    <w:basedOn w:val="25"/>
    <w:link w:val="11"/>
    <w:semiHidden/>
    <w:qFormat/>
    <w:uiPriority w:val="99"/>
    <w:rPr>
      <w:b/>
      <w:bCs/>
      <w:kern w:val="2"/>
      <w:sz w:val="21"/>
      <w:szCs w:val="22"/>
    </w:rPr>
  </w:style>
  <w:style w:type="character" w:customStyle="1" w:styleId="27">
    <w:name w:val="标题 4 字符2"/>
    <w:link w:val="5"/>
    <w:qFormat/>
    <w:uiPriority w:val="9"/>
    <w:rPr>
      <w:i/>
    </w:rPr>
  </w:style>
  <w:style w:type="paragraph" w:customStyle="1" w:styleId="28">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9">
    <w:name w:val="Comments"/>
    <w:basedOn w:val="1"/>
    <w:qFormat/>
    <w:uiPriority w:val="0"/>
    <w:rPr>
      <w:i/>
      <w:sz w:val="18"/>
    </w:rPr>
  </w:style>
  <w:style w:type="paragraph" w:customStyle="1" w:styleId="30">
    <w:name w:val="Agreement"/>
    <w:basedOn w:val="1"/>
    <w:next w:val="23"/>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1</TotalTime>
  <ScaleCrop>false</ScaleCrop>
  <LinksUpToDate>false</LinksUpToDate>
  <CharactersWithSpaces>15565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2023-09-28T08:39:51Z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59E8A00A2F474E36A28BDC587CC9B8FA</vt:lpwstr>
  </property>
</Properties>
</file>